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三亚市公安局海棠分局</w:t>
      </w: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年度部门决算公开报告</w:t>
      </w:r>
    </w:p>
    <w:p>
      <w:pPr>
        <w:spacing w:line="578" w:lineRule="exact"/>
        <w:jc w:val="center"/>
        <w:rPr>
          <w:rFonts w:hint="eastAsia" w:ascii="黑体" w:hAnsi="ˎ̥" w:eastAsia="黑体"/>
          <w:b/>
          <w:sz w:val="32"/>
          <w:szCs w:val="32"/>
        </w:rPr>
      </w:pPr>
    </w:p>
    <w:p>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19"/>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pPr>
        <w:pStyle w:val="20"/>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3</w:t>
      </w:r>
    </w:p>
    <w:p>
      <w:pPr>
        <w:pStyle w:val="19"/>
        <w:tabs>
          <w:tab w:val="right" w:leader="dot" w:pos="8306"/>
        </w:tabs>
        <w:spacing w:line="578" w:lineRule="exact"/>
        <w:rPr>
          <w:rFonts w:hint="eastAsia" w:eastAsia="宋体"/>
          <w:sz w:val="32"/>
          <w:szCs w:val="32"/>
          <w:lang w:val="en-US" w:eastAsia="zh-CN"/>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4</w:t>
      </w:r>
    </w:p>
    <w:p>
      <w:pPr>
        <w:pStyle w:val="19"/>
        <w:tabs>
          <w:tab w:val="right" w:leader="dot" w:pos="8306"/>
        </w:tabs>
        <w:spacing w:line="578" w:lineRule="exact"/>
        <w:rPr>
          <w:rFonts w:hint="eastAsia" w:eastAsia="宋体"/>
          <w:sz w:val="32"/>
          <w:szCs w:val="32"/>
          <w:lang w:val="en-US" w:eastAsia="zh-CN"/>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lang w:val="en-US" w:eastAsia="zh-CN"/>
        </w:rPr>
        <w:t>5</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7</w:t>
      </w:r>
    </w:p>
    <w:p>
      <w:pPr>
        <w:pStyle w:val="20"/>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pPr>
        <w:pStyle w:val="20"/>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12</w:t>
      </w:r>
    </w:p>
    <w:p>
      <w:pPr>
        <w:pStyle w:val="20"/>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12</w:t>
      </w:r>
    </w:p>
    <w:p>
      <w:pPr>
        <w:pStyle w:val="20"/>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13</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w:t>
      </w:r>
      <w:r>
        <w:rPr>
          <w:rFonts w:hint="eastAsia" w:ascii="仿宋" w:hAnsi="仿宋" w:eastAsia="仿宋" w:cs="仿宋"/>
          <w:sz w:val="32"/>
          <w:szCs w:val="32"/>
          <w:lang w:val="en-US" w:eastAsia="zh-CN"/>
        </w:rPr>
        <w:t>4</w:t>
      </w:r>
    </w:p>
    <w:p>
      <w:pPr>
        <w:pStyle w:val="20"/>
        <w:numPr>
          <w:ilvl w:val="0"/>
          <w:numId w:val="0"/>
        </w:numPr>
        <w:tabs>
          <w:tab w:val="right" w:leader="dot" w:pos="8306"/>
        </w:tabs>
        <w:spacing w:line="578" w:lineRule="exact"/>
        <w:rPr>
          <w:rFonts w:hint="eastAsia" w:ascii="仿宋" w:hAnsi="仿宋" w:eastAsia="仿宋" w:cs="仿宋"/>
          <w:sz w:val="32"/>
          <w:szCs w:val="32"/>
          <w:lang w:val="en-US" w:eastAsia="zh-CN"/>
        </w:rPr>
      </w:pPr>
      <w:r>
        <w:rPr>
          <w:rFonts w:hint="eastAsia" w:ascii="仿宋" w:hAnsi="仿宋" w:eastAsia="仿宋" w:cs="仿宋"/>
          <w:bCs/>
          <w:sz w:val="32"/>
          <w:szCs w:val="32"/>
          <w:lang w:val="en-US" w:eastAsia="zh-CN"/>
        </w:rPr>
        <w:t>十一、</w:t>
      </w:r>
      <w:r>
        <w:rPr>
          <w:rFonts w:hint="eastAsia" w:ascii="仿宋" w:hAnsi="仿宋" w:eastAsia="仿宋" w:cs="仿宋"/>
          <w:bCs/>
          <w:sz w:val="32"/>
          <w:szCs w:val="32"/>
        </w:rPr>
        <w:t>落实习惯过紧日子要求、保障重点支出情况说明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6</w:t>
      </w:r>
    </w:p>
    <w:p>
      <w:pPr>
        <w:pStyle w:val="20"/>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bCs/>
          <w:sz w:val="32"/>
          <w:szCs w:val="32"/>
        </w:rPr>
        <w:t>十</w:t>
      </w:r>
      <w:r>
        <w:rPr>
          <w:rFonts w:hint="eastAsia" w:ascii="仿宋" w:hAnsi="仿宋" w:eastAsia="仿宋" w:cs="仿宋"/>
          <w:bCs/>
          <w:sz w:val="32"/>
          <w:szCs w:val="32"/>
          <w:lang w:val="en-US" w:eastAsia="zh-CN"/>
        </w:rPr>
        <w:t>二</w:t>
      </w:r>
      <w:r>
        <w:rPr>
          <w:rFonts w:hint="eastAsia" w:ascii="仿宋" w:hAnsi="仿宋" w:eastAsia="仿宋" w:cs="仿宋"/>
          <w:bCs/>
          <w:sz w:val="32"/>
          <w:szCs w:val="32"/>
        </w:rPr>
        <w:t>、其他重要事项情况说明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7</w:t>
      </w:r>
    </w:p>
    <w:p>
      <w:pPr>
        <w:pStyle w:val="19"/>
        <w:tabs>
          <w:tab w:val="right" w:leader="dot" w:pos="8306"/>
        </w:tabs>
        <w:spacing w:line="578" w:lineRule="exact"/>
        <w:rPr>
          <w:rFonts w:hint="eastAsia" w:ascii="黑体" w:hAnsi="ˎ̥" w:eastAsia="宋体"/>
          <w:b/>
          <w:sz w:val="32"/>
          <w:szCs w:val="32"/>
          <w:lang w:val="en-US" w:eastAsia="zh-CN"/>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r>
        <w:rPr>
          <w:rFonts w:hint="eastAsia"/>
          <w:sz w:val="32"/>
          <w:szCs w:val="32"/>
          <w:lang w:val="en-US" w:eastAsia="zh-CN"/>
        </w:rPr>
        <w:t>9</w:t>
      </w:r>
    </w:p>
    <w:p>
      <w:pPr>
        <w:spacing w:line="578" w:lineRule="exact"/>
        <w:jc w:val="both"/>
        <w:rPr>
          <w:rFonts w:hint="eastAsia" w:ascii="黑体" w:hAnsi="ˎ̥" w:eastAsia="黑体"/>
          <w:sz w:val="32"/>
          <w:szCs w:val="32"/>
        </w:rPr>
      </w:pPr>
      <w:bookmarkStart w:id="2" w:name="_Toc1704_WPSOffice_Level1"/>
      <w:bookmarkStart w:id="3" w:name="_Toc32433_WPSOffice_Level1"/>
      <w:bookmarkStart w:id="4" w:name="_Toc10049_WPSOffice_Level1"/>
      <w:bookmarkStart w:id="5" w:name="_Toc23465_WPSOffice_Level1"/>
      <w:bookmarkStart w:id="6" w:name="_Toc22941_WPSOffice_Level1"/>
      <w:bookmarkStart w:id="7" w:name="_Toc10720_WPSOffice_Level1"/>
      <w:bookmarkStart w:id="8" w:name="_Toc24238_WPSOffice_Level2"/>
      <w:bookmarkStart w:id="9" w:name="_Toc26580_WPSOffice_Level2"/>
      <w:bookmarkStart w:id="10" w:name="_Toc14159_WPSOffice_Level2"/>
      <w:bookmarkStart w:id="11" w:name="_Toc20205_WPSOffice_Level2"/>
      <w:bookmarkStart w:id="12" w:name="_Toc20274_WPSOffice_Level2"/>
      <w:bookmarkStart w:id="13" w:name="_Toc32622_WPSOffice_Level2"/>
    </w:p>
    <w:p>
      <w:pPr>
        <w:spacing w:line="578" w:lineRule="exact"/>
        <w:jc w:val="center"/>
        <w:rPr>
          <w:rFonts w:hint="eastAsia" w:ascii="黑体" w:hAnsi="ˎ̥" w:eastAsia="黑体"/>
          <w:color w:val="000000" w:themeColor="text1"/>
          <w:sz w:val="32"/>
          <w:szCs w:val="32"/>
          <w:shd w:val="clear" w:color="auto" w:fill="auto"/>
          <w14:textFill>
            <w14:solidFill>
              <w14:schemeClr w14:val="tx1"/>
            </w14:solidFill>
          </w14:textFill>
        </w:rPr>
      </w:pPr>
      <w:r>
        <w:rPr>
          <w:rFonts w:hint="eastAsia" w:ascii="黑体" w:hAnsi="ˎ̥" w:eastAsia="黑体"/>
          <w:color w:val="000000" w:themeColor="text1"/>
          <w:sz w:val="32"/>
          <w:szCs w:val="32"/>
          <w:shd w:val="clear" w:color="auto" w:fill="auto"/>
          <w14:textFill>
            <w14:solidFill>
              <w14:schemeClr w14:val="tx1"/>
            </w14:solidFill>
          </w14:textFill>
        </w:rPr>
        <w:t xml:space="preserve">第一部分  </w:t>
      </w:r>
      <w:bookmarkEnd w:id="2"/>
      <w:bookmarkEnd w:id="3"/>
      <w:bookmarkEnd w:id="4"/>
      <w:bookmarkEnd w:id="5"/>
      <w:bookmarkEnd w:id="6"/>
      <w:bookmarkEnd w:id="7"/>
      <w:r>
        <w:rPr>
          <w:rFonts w:hint="eastAsia" w:ascii="黑体" w:hAnsi="ˎ̥" w:eastAsia="黑体"/>
          <w:color w:val="000000" w:themeColor="text1"/>
          <w:sz w:val="32"/>
          <w:szCs w:val="32"/>
          <w:shd w:val="clear" w:color="auto" w:fill="auto"/>
          <w14:textFill>
            <w14:solidFill>
              <w14:schemeClr w14:val="tx1"/>
            </w14:solidFill>
          </w14:textFill>
        </w:rPr>
        <w:t>基本情况</w:t>
      </w:r>
    </w:p>
    <w:p>
      <w:pPr>
        <w:spacing w:line="578" w:lineRule="exact"/>
        <w:ind w:firstLine="640" w:firstLineChars="200"/>
        <w:rPr>
          <w:rFonts w:hint="eastAsia" w:ascii="楷体" w:hAnsi="楷体" w:eastAsia="楷体" w:cs="楷体"/>
          <w:color w:val="000000" w:themeColor="text1"/>
          <w:sz w:val="32"/>
          <w:szCs w:val="32"/>
          <w:shd w:val="clear" w:color="auto" w:fill="auto"/>
          <w14:textFill>
            <w14:solidFill>
              <w14:schemeClr w14:val="tx1"/>
            </w14:solidFill>
          </w14:textFill>
        </w:rPr>
      </w:pPr>
    </w:p>
    <w:p>
      <w:pPr>
        <w:numPr>
          <w:ilvl w:val="0"/>
          <w:numId w:val="1"/>
        </w:numPr>
        <w:spacing w:line="578" w:lineRule="exact"/>
        <w:ind w:firstLine="640" w:firstLineChars="200"/>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color w:val="000000" w:themeColor="text1"/>
          <w:sz w:val="32"/>
          <w:szCs w:val="32"/>
          <w:shd w:val="clear" w:color="auto" w:fill="auto"/>
          <w14:textFill>
            <w14:solidFill>
              <w14:schemeClr w14:val="tx1"/>
            </w14:solidFill>
          </w14:textFill>
        </w:rPr>
        <w:t>部门</w:t>
      </w:r>
      <w:bookmarkEnd w:id="8"/>
      <w:r>
        <w:rPr>
          <w:rFonts w:hint="eastAsia" w:ascii="黑体" w:hAnsi="黑体" w:eastAsia="黑体" w:cs="黑体"/>
          <w:color w:val="000000" w:themeColor="text1"/>
          <w:sz w:val="32"/>
          <w:szCs w:val="32"/>
          <w:shd w:val="clear" w:color="auto" w:fill="auto"/>
          <w14:textFill>
            <w14:solidFill>
              <w14:schemeClr w14:val="tx1"/>
            </w14:solidFill>
          </w14:textFill>
        </w:rPr>
        <w:t>（单位）职责</w:t>
      </w:r>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（一）贯彻执行公安工作的方针、政策、法律、法规、规章</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参与起草有关地方性规章</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部署、指导、监督、检查辖区公安工作。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（二）掌握影响稳定、危害国内安全和社会治安的情况及其他有害组织的违法犯罪活动</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线索并实施布控和打击</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，分析</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辖区社会治安</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形势，</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制定对策</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三）</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预防、制止和侦查违法犯罪活动，负责对危害国家安全案件、各类刑事案件、行政案件的侦办工作</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（四）</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维护社会治安秩序、制止危害社会治安秩序的行为，根据</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上级公安机关的</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部署，</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对党和国家领导人以及重要外宾在管辖区域内的安全警卫工作。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（五）依法管理国籍、出境入境和外国人在管辖区域内居留、旅行的有关工作。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（六）</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依法管理户口、枪支弹药、管制刀具和易燃易爆炸、剧毒、放射性等危险物品和特种行业的管理工作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（七）指导、监督</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辖区国家机关、社会团体、企事业单位和重点建设工程的治安保卫工作</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、信息网络是安全检查</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及群众性组织的治安防范工作。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黑体" w:eastAsia="仿宋_GB2312" w:cs="仿宋_GB2312"/>
          <w:color w:val="000000" w:themeColor="text1"/>
          <w:sz w:val="32"/>
          <w:szCs w:val="32"/>
          <w:shd w:val="clear" w:color="auto" w:fill="auto"/>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八</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）研究、制定</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海棠</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公安队伍</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监督管理规章制度，分析队伍现状，组织实施督察、</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教育训练和公安宣传工作，按规定权限</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实施对民辅警的管理和监督，查处海棠公安队伍违法违纪案件</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负责</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公安装备、被装、经费等警务保障工作。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黑体" w:hAnsi="黑体" w:eastAsia="黑体" w:cs="黑体"/>
          <w:color w:val="000000" w:themeColor="text1"/>
          <w:sz w:val="32"/>
          <w:szCs w:val="32"/>
          <w:shd w:val="clear" w:color="auto" w:fill="auto"/>
          <w:lang w:val="en-US" w:eastAsia="zh-CN"/>
          <w14:textFill>
            <w14:solidFill>
              <w14:schemeClr w14:val="tx1"/>
            </w14:solidFill>
          </w14:textFill>
        </w:rPr>
      </w:pP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九</w:t>
      </w:r>
      <w:r>
        <w:rPr>
          <w:rFonts w:hint="eastAsia" w:ascii="仿宋_GB2312" w:hAnsi="黑体" w:eastAsia="仿宋_GB2312" w:cs="仿宋_GB2312"/>
          <w:color w:val="000000" w:themeColor="text1"/>
          <w:sz w:val="32"/>
          <w:szCs w:val="32"/>
          <w:shd w:val="clear" w:color="auto" w:fill="auto"/>
          <w14:textFill>
            <w14:solidFill>
              <w14:schemeClr w14:val="tx1"/>
            </w14:solidFill>
          </w14:textFill>
        </w:rPr>
        <w:t>）承办</w:t>
      </w:r>
      <w:r>
        <w:rPr>
          <w:rFonts w:hint="eastAsia" w:ascii="仿宋_GB2312" w:hAnsi="黑体" w:eastAsia="仿宋_GB2312" w:cs="仿宋_GB2312"/>
          <w:color w:val="000000" w:themeColor="text1"/>
          <w:sz w:val="32"/>
          <w:szCs w:val="32"/>
          <w:shd w:val="clear" w:color="auto" w:fill="auto"/>
          <w:lang w:eastAsia="zh-CN"/>
          <w14:textFill>
            <w14:solidFill>
              <w14:schemeClr w14:val="tx1"/>
            </w14:solidFill>
          </w14:textFill>
        </w:rPr>
        <w:t>海棠区党委、政府和上级公安机关交办的其他事项。</w:t>
      </w:r>
    </w:p>
    <w:p>
      <w:pPr>
        <w:spacing w:line="578" w:lineRule="exact"/>
        <w:ind w:firstLine="640" w:firstLineChars="200"/>
        <w:rPr>
          <w:rFonts w:hint="eastAsia" w:ascii="黑体" w:hAnsi="黑体" w:eastAsia="黑体" w:cs="黑体"/>
          <w:color w:val="000000" w:themeColor="text1"/>
          <w:sz w:val="32"/>
          <w:szCs w:val="32"/>
          <w:shd w:val="clear" w:color="auto" w:fill="auto"/>
          <w14:textFill>
            <w14:solidFill>
              <w14:schemeClr w14:val="tx1"/>
            </w14:solidFill>
          </w14:textFill>
        </w:rPr>
      </w:pPr>
      <w:bookmarkStart w:id="14" w:name="_Toc17796_WPSOffice_Level2"/>
      <w:bookmarkStart w:id="15" w:name="_Toc4833_WPSOffice_Level2"/>
      <w:bookmarkStart w:id="16" w:name="_Toc24474_WPSOffice_Level2"/>
      <w:bookmarkStart w:id="17" w:name="_Toc24059_WPSOffice_Level2"/>
      <w:bookmarkStart w:id="18" w:name="_Toc6572_WPSOffice_Level2"/>
      <w:r>
        <w:rPr>
          <w:rFonts w:hint="eastAsia" w:ascii="黑体" w:hAnsi="黑体" w:eastAsia="黑体" w:cs="黑体"/>
          <w:color w:val="000000" w:themeColor="text1"/>
          <w:sz w:val="32"/>
          <w:szCs w:val="32"/>
          <w:shd w:val="clear" w:color="auto" w:fill="auto"/>
          <w14:textFill>
            <w14:solidFill>
              <w14:schemeClr w14:val="tx1"/>
            </w14:solidFill>
          </w14:textFill>
        </w:rPr>
        <w:t>二、机构设置</w:t>
      </w:r>
      <w:bookmarkEnd w:id="14"/>
      <w:bookmarkEnd w:id="15"/>
      <w:bookmarkEnd w:id="16"/>
      <w:bookmarkEnd w:id="17"/>
      <w:bookmarkEnd w:id="18"/>
    </w:p>
    <w:p>
      <w:pPr>
        <w:spacing w:line="578" w:lineRule="exact"/>
        <w:ind w:firstLine="640" w:firstLineChars="200"/>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纳入</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三亚市公安局海棠分局</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年度部门决算编制范围的单位共</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w:t>
      </w:r>
      <w:r>
        <w:rPr>
          <w:rFonts w:hint="eastAsia" w:ascii="仿宋" w:hAnsi="仿宋" w:eastAsia="仿宋" w:cs="仿宋"/>
          <w:color w:val="000000" w:themeColor="text1"/>
          <w:sz w:val="32"/>
          <w:szCs w:val="32"/>
          <w:shd w:val="clear" w:color="auto" w:fill="auto"/>
          <w14:textFill>
            <w14:solidFill>
              <w14:schemeClr w14:val="tx1"/>
            </w14:solidFill>
          </w14:textFill>
        </w:rPr>
        <w:t>个</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宋体" w:eastAsia="仿宋_GB2312" w:cs="仿宋_GB2312"/>
          <w:color w:val="000000" w:themeColor="text1"/>
          <w:kern w:val="2"/>
          <w:sz w:val="32"/>
          <w:szCs w:val="32"/>
          <w:shd w:val="clear" w:color="auto" w:fill="auto"/>
          <w:lang w:val="en-US" w:eastAsia="zh-CN" w:bidi="ar-SA"/>
          <w14:textFill>
            <w14:solidFill>
              <w14:schemeClr w14:val="tx1"/>
            </w14:solidFill>
          </w14:textFill>
        </w:rPr>
      </w:pPr>
      <w:r>
        <w:rPr>
          <w:rFonts w:hint="eastAsia" w:ascii="仿宋_GB2312" w:hAnsi="宋体" w:eastAsia="仿宋_GB2312" w:cs="仿宋_GB2312"/>
          <w:color w:val="000000" w:themeColor="text1"/>
          <w:kern w:val="2"/>
          <w:sz w:val="32"/>
          <w:szCs w:val="32"/>
          <w:shd w:val="clear" w:color="auto" w:fill="auto"/>
          <w:lang w:val="en-US" w:eastAsia="zh-CN" w:bidi="ar-SA"/>
          <w14:textFill>
            <w14:solidFill>
              <w14:schemeClr w14:val="tx1"/>
            </w14:solidFill>
          </w14:textFill>
        </w:rPr>
        <w:t>三亚市公安局海棠分局于2010年成立，</w:t>
      </w:r>
      <w:bookmarkStart w:id="119" w:name="_GoBack"/>
      <w:bookmarkEnd w:id="119"/>
      <w:r>
        <w:rPr>
          <w:rFonts w:hint="eastAsia" w:ascii="仿宋_GB2312" w:hAnsi="宋体" w:eastAsia="仿宋_GB2312" w:cs="仿宋_GB2312"/>
          <w:color w:val="000000" w:themeColor="text1"/>
          <w:kern w:val="2"/>
          <w:sz w:val="32"/>
          <w:szCs w:val="32"/>
          <w:shd w:val="clear" w:color="auto" w:fill="auto"/>
          <w:lang w:val="en-US" w:eastAsia="zh-CN" w:bidi="ar-SA"/>
          <w14:textFill>
            <w14:solidFill>
              <w14:schemeClr w14:val="tx1"/>
            </w14:solidFill>
          </w14:textFill>
        </w:rPr>
        <w:t>内设部门有政工室、法制大队、治安管理大队、刑事侦查大队、政治安全保卫大队、基层基础和人口大队、情报指挥中心、警务保障室、林旺派出所、藤桥派出所和南田派出所。</w:t>
      </w:r>
    </w:p>
    <w:p>
      <w:pPr>
        <w:pStyle w:val="2"/>
        <w:rPr>
          <w:rFonts w:hint="eastAsia" w:ascii="仿宋_GB2312" w:hAnsi="宋体" w:eastAsia="仿宋_GB2312" w:cs="仿宋_GB2312"/>
          <w:color w:val="000000" w:themeColor="text1"/>
          <w:kern w:val="2"/>
          <w:sz w:val="32"/>
          <w:szCs w:val="32"/>
          <w:shd w:val="clear" w:color="auto" w:fill="auto"/>
          <w:lang w:val="en-US" w:eastAsia="zh-CN" w:bidi="ar-SA"/>
          <w14:textFill>
            <w14:solidFill>
              <w14:schemeClr w14:val="tx1"/>
            </w14:solidFill>
          </w14:textFill>
        </w:rPr>
      </w:pPr>
    </w:p>
    <w:p>
      <w:pPr>
        <w:rPr>
          <w:rFonts w:hint="eastAsia" w:ascii="仿宋_GB2312" w:hAnsi="宋体" w:eastAsia="仿宋_GB2312" w:cs="仿宋_GB2312"/>
          <w:color w:val="000000" w:themeColor="text1"/>
          <w:kern w:val="2"/>
          <w:sz w:val="32"/>
          <w:szCs w:val="32"/>
          <w:shd w:val="clear" w:color="auto" w:fill="auto"/>
          <w:lang w:val="en-US" w:eastAsia="zh-CN" w:bidi="ar-SA"/>
          <w14:textFill>
            <w14:solidFill>
              <w14:schemeClr w14:val="tx1"/>
            </w14:solidFill>
          </w14:textFill>
        </w:rPr>
      </w:pPr>
    </w:p>
    <w:p>
      <w:pPr>
        <w:pStyle w:val="2"/>
        <w:rPr>
          <w:rFonts w:hint="eastAsia"/>
        </w:rPr>
      </w:pPr>
    </w:p>
    <w:p>
      <w:pPr>
        <w:spacing w:line="578" w:lineRule="exact"/>
        <w:jc w:val="center"/>
        <w:rPr>
          <w:rFonts w:hint="eastAsia" w:ascii="黑体" w:hAnsi="ˎ̥" w:eastAsia="黑体"/>
          <w:color w:val="000000" w:themeColor="text1"/>
          <w:sz w:val="32"/>
          <w:szCs w:val="32"/>
          <w:shd w:val="clear" w:color="auto" w:fill="auto"/>
          <w14:textFill>
            <w14:solidFill>
              <w14:schemeClr w14:val="tx1"/>
            </w14:solidFill>
          </w14:textFill>
        </w:rPr>
      </w:pPr>
      <w:bookmarkStart w:id="19" w:name="_Toc28253_WPSOffice_Level1"/>
      <w:bookmarkStart w:id="20" w:name="_Toc30690_WPSOffice_Level1"/>
      <w:bookmarkStart w:id="21" w:name="_Toc30451_WPSOffice_Level1"/>
      <w:bookmarkStart w:id="22" w:name="_Toc6234_WPSOffice_Level1"/>
      <w:bookmarkStart w:id="23" w:name="_Toc15521_WPSOffice_Level1"/>
      <w:bookmarkStart w:id="24" w:name="_Toc8164_WPSOffice_Level1"/>
      <w:bookmarkStart w:id="25" w:name="_Toc32472_WPSOffice_Level2"/>
      <w:bookmarkStart w:id="26" w:name="_Toc11518_WPSOffice_Level2"/>
      <w:bookmarkStart w:id="27" w:name="_Toc4029_WPSOffice_Level2"/>
      <w:bookmarkStart w:id="28" w:name="_Toc8867_WPSOffice_Level2"/>
      <w:bookmarkStart w:id="29" w:name="_Toc6211_WPSOffice_Level2"/>
      <w:bookmarkStart w:id="30" w:name="_Toc32695_WPSOffice_Level2"/>
    </w:p>
    <w:p>
      <w:pPr>
        <w:pStyle w:val="2"/>
        <w:rPr>
          <w:rFonts w:hint="eastAsia" w:ascii="黑体" w:hAnsi="ˎ̥" w:eastAsia="黑体"/>
          <w:color w:val="000000" w:themeColor="text1"/>
          <w:sz w:val="32"/>
          <w:szCs w:val="32"/>
          <w:shd w:val="clear" w:color="auto" w:fill="auto"/>
          <w14:textFill>
            <w14:solidFill>
              <w14:schemeClr w14:val="tx1"/>
            </w14:solidFill>
          </w14:textFill>
        </w:rPr>
      </w:pPr>
    </w:p>
    <w:p>
      <w:pPr>
        <w:rPr>
          <w:rFonts w:hint="eastAsia"/>
          <w:color w:val="000000" w:themeColor="text1"/>
          <w:shd w:val="clear" w:color="auto" w:fill="auto"/>
          <w14:textFill>
            <w14:solidFill>
              <w14:schemeClr w14:val="tx1"/>
            </w14:solidFill>
          </w14:textFill>
        </w:rPr>
      </w:pPr>
    </w:p>
    <w:p>
      <w:pPr>
        <w:pStyle w:val="2"/>
        <w:rPr>
          <w:rFonts w:hint="eastAsia" w:ascii="黑体" w:hAnsi="ˎ̥" w:eastAsia="黑体"/>
          <w:color w:val="000000" w:themeColor="text1"/>
          <w:sz w:val="32"/>
          <w:szCs w:val="32"/>
          <w:shd w:val="clear" w:color="auto" w:fill="auto"/>
          <w14:textFill>
            <w14:solidFill>
              <w14:schemeClr w14:val="tx1"/>
            </w14:solidFill>
          </w14:textFill>
        </w:rPr>
      </w:pPr>
    </w:p>
    <w:p>
      <w:pPr>
        <w:rPr>
          <w:rFonts w:hint="eastAsia" w:ascii="黑体" w:hAnsi="ˎ̥" w:eastAsia="黑体"/>
          <w:color w:val="000000" w:themeColor="text1"/>
          <w:sz w:val="32"/>
          <w:szCs w:val="32"/>
          <w:shd w:val="clear" w:color="auto" w:fill="auto"/>
          <w14:textFill>
            <w14:solidFill>
              <w14:schemeClr w14:val="tx1"/>
            </w14:solidFill>
          </w14:textFill>
        </w:rPr>
      </w:pPr>
    </w:p>
    <w:p>
      <w:pPr>
        <w:pStyle w:val="2"/>
        <w:rPr>
          <w:rFonts w:hint="eastAsia" w:ascii="黑体" w:hAnsi="ˎ̥" w:eastAsia="黑体"/>
          <w:color w:val="000000" w:themeColor="text1"/>
          <w:sz w:val="32"/>
          <w:szCs w:val="32"/>
          <w:shd w:val="clear" w:color="auto" w:fill="auto"/>
          <w14:textFill>
            <w14:solidFill>
              <w14:schemeClr w14:val="tx1"/>
            </w14:solidFill>
          </w14:textFill>
        </w:rPr>
      </w:pPr>
    </w:p>
    <w:p>
      <w:pPr>
        <w:rPr>
          <w:rFonts w:hint="eastAsia" w:ascii="黑体" w:hAnsi="ˎ̥" w:eastAsia="黑体"/>
          <w:color w:val="000000" w:themeColor="text1"/>
          <w:sz w:val="32"/>
          <w:szCs w:val="32"/>
          <w:shd w:val="clear" w:color="auto" w:fill="auto"/>
          <w14:textFill>
            <w14:solidFill>
              <w14:schemeClr w14:val="tx1"/>
            </w14:solidFill>
          </w14:textFill>
        </w:rPr>
      </w:pPr>
    </w:p>
    <w:p>
      <w:pPr>
        <w:pStyle w:val="2"/>
        <w:rPr>
          <w:rFonts w:hint="eastAsia"/>
          <w:color w:val="000000" w:themeColor="text1"/>
          <w:shd w:val="clear" w:color="auto" w:fill="auto"/>
          <w14:textFill>
            <w14:solidFill>
              <w14:schemeClr w14:val="tx1"/>
            </w14:solidFill>
          </w14:textFill>
        </w:rPr>
      </w:pPr>
    </w:p>
    <w:p>
      <w:pPr>
        <w:rPr>
          <w:rFonts w:hint="eastAsia" w:ascii="黑体" w:hAnsi="ˎ̥" w:eastAsia="黑体"/>
          <w:color w:val="000000" w:themeColor="text1"/>
          <w:sz w:val="32"/>
          <w:szCs w:val="32"/>
          <w:shd w:val="clear" w:color="auto" w:fill="auto"/>
          <w14:textFill>
            <w14:solidFill>
              <w14:schemeClr w14:val="tx1"/>
            </w14:solidFill>
          </w14:textFill>
        </w:rPr>
      </w:pPr>
    </w:p>
    <w:p>
      <w:pPr>
        <w:pStyle w:val="2"/>
        <w:rPr>
          <w:rFonts w:hint="eastAsia"/>
          <w:color w:val="000000" w:themeColor="text1"/>
          <w:shd w:val="clear" w:color="auto" w:fill="auto"/>
          <w14:textFill>
            <w14:solidFill>
              <w14:schemeClr w14:val="tx1"/>
            </w14:solidFill>
          </w14:textFill>
        </w:rPr>
      </w:pPr>
    </w:p>
    <w:p>
      <w:pPr>
        <w:spacing w:line="578" w:lineRule="exact"/>
        <w:jc w:val="center"/>
        <w:rPr>
          <w:rFonts w:hint="eastAsia" w:ascii="黑体" w:hAnsi="ˎ̥" w:eastAsia="黑体"/>
          <w:color w:val="000000" w:themeColor="text1"/>
          <w:sz w:val="32"/>
          <w:szCs w:val="32"/>
          <w:shd w:val="clear" w:color="auto" w:fill="auto"/>
          <w14:textFill>
            <w14:solidFill>
              <w14:schemeClr w14:val="tx1"/>
            </w14:solidFill>
          </w14:textFill>
        </w:rPr>
      </w:pPr>
      <w:r>
        <w:rPr>
          <w:rFonts w:hint="eastAsia" w:ascii="黑体" w:hAnsi="ˎ̥" w:eastAsia="黑体"/>
          <w:color w:val="000000" w:themeColor="text1"/>
          <w:sz w:val="32"/>
          <w:szCs w:val="32"/>
          <w:shd w:val="clear" w:color="auto" w:fill="auto"/>
          <w14:textFill>
            <w14:solidFill>
              <w14:schemeClr w14:val="tx1"/>
            </w14:solidFill>
          </w14:textFill>
        </w:rPr>
        <w:t xml:space="preserve">第二部分  </w:t>
      </w:r>
      <w:r>
        <w:rPr>
          <w:rFonts w:hint="default" w:ascii="黑体" w:hAnsi="ˎ̥" w:eastAsia="黑体"/>
          <w:color w:val="000000" w:themeColor="text1"/>
          <w:sz w:val="32"/>
          <w:szCs w:val="32"/>
          <w:shd w:val="clear" w:color="auto" w:fill="auto"/>
          <w:lang w:val="en-US"/>
          <w14:textFill>
            <w14:solidFill>
              <w14:schemeClr w14:val="tx1"/>
            </w14:solidFill>
          </w14:textFill>
        </w:rPr>
        <w:t>2025</w:t>
      </w:r>
      <w:r>
        <w:rPr>
          <w:rFonts w:hint="eastAsia" w:ascii="黑体" w:hAnsi="ˎ̥" w:eastAsia="黑体"/>
          <w:color w:val="000000" w:themeColor="text1"/>
          <w:sz w:val="32"/>
          <w:szCs w:val="32"/>
          <w:shd w:val="clear" w:color="auto" w:fill="auto"/>
          <w14:textFill>
            <w14:solidFill>
              <w14:schemeClr w14:val="tx1"/>
            </w14:solidFill>
          </w14:textFill>
        </w:rPr>
        <w:t>年度部门决算公开报表</w:t>
      </w:r>
      <w:bookmarkEnd w:id="19"/>
      <w:bookmarkEnd w:id="20"/>
      <w:bookmarkEnd w:id="21"/>
      <w:bookmarkEnd w:id="22"/>
      <w:bookmarkEnd w:id="23"/>
      <w:bookmarkEnd w:id="24"/>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color w:val="000000" w:themeColor="text1"/>
          <w:sz w:val="32"/>
          <w:szCs w:val="32"/>
          <w:shd w:val="clear" w:color="auto" w:fill="auto"/>
          <w14:textFill>
            <w14:solidFill>
              <w14:schemeClr w14:val="tx1"/>
            </w14:solidFill>
          </w14:textFill>
        </w:rPr>
        <w:t>一、收入支出决算公开表</w:t>
      </w:r>
      <w:bookmarkEnd w:id="25"/>
      <w:bookmarkEnd w:id="26"/>
      <w:bookmarkEnd w:id="27"/>
      <w:bookmarkEnd w:id="28"/>
      <w:bookmarkEnd w:id="29"/>
      <w:bookmarkEnd w:id="30"/>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bookmarkStart w:id="31" w:name="_Toc30334_WPSOffice_Level2"/>
      <w:bookmarkStart w:id="32" w:name="_Toc26621_WPSOffice_Level2"/>
      <w:bookmarkStart w:id="33" w:name="_Toc28622_WPSOffice_Level2"/>
      <w:bookmarkStart w:id="34" w:name="_Toc23139_WPSOffice_Level2"/>
      <w:bookmarkStart w:id="35" w:name="_Toc14349_WPSOffice_Level2"/>
      <w:bookmarkStart w:id="36" w:name="_Toc25608_WPSOffice_Level2"/>
      <w:r>
        <w:rPr>
          <w:rFonts w:hint="eastAsia" w:ascii="黑体" w:hAnsi="黑体" w:eastAsia="黑体" w:cs="黑体"/>
          <w:color w:val="000000" w:themeColor="text1"/>
          <w:sz w:val="32"/>
          <w:szCs w:val="32"/>
          <w:shd w:val="clear" w:color="auto" w:fill="auto"/>
          <w14:textFill>
            <w14:solidFill>
              <w14:schemeClr w14:val="tx1"/>
            </w14:solidFill>
          </w14:textFill>
        </w:rPr>
        <w:t>二、收入决算公开表</w:t>
      </w:r>
      <w:bookmarkEnd w:id="31"/>
      <w:bookmarkEnd w:id="32"/>
      <w:bookmarkEnd w:id="33"/>
      <w:bookmarkEnd w:id="34"/>
      <w:bookmarkEnd w:id="35"/>
      <w:bookmarkEnd w:id="36"/>
      <w:bookmarkStart w:id="37" w:name="_Toc5489_WPSOffice_Level2"/>
      <w:bookmarkStart w:id="38" w:name="_Toc14658_WPSOffice_Level2"/>
      <w:bookmarkStart w:id="39" w:name="_Toc17858_WPSOffice_Level2"/>
      <w:bookmarkStart w:id="40" w:name="_Toc13854_WPSOffice_Level2"/>
      <w:bookmarkStart w:id="41" w:name="_Toc17626_WPSOffice_Level2"/>
      <w:bookmarkStart w:id="42" w:name="_Toc3262_WPSOffice_Level2"/>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color w:val="000000" w:themeColor="text1"/>
          <w:sz w:val="32"/>
          <w:szCs w:val="32"/>
          <w:shd w:val="clear" w:color="auto" w:fill="auto"/>
          <w14:textFill>
            <w14:solidFill>
              <w14:schemeClr w14:val="tx1"/>
            </w14:solidFill>
          </w14:textFill>
        </w:rPr>
        <w:t>三、支出决算公开表</w:t>
      </w:r>
      <w:bookmarkEnd w:id="37"/>
      <w:bookmarkEnd w:id="38"/>
      <w:bookmarkEnd w:id="39"/>
      <w:bookmarkEnd w:id="40"/>
      <w:bookmarkEnd w:id="41"/>
      <w:bookmarkEnd w:id="42"/>
      <w:bookmarkStart w:id="43" w:name="_Toc4265_WPSOffice_Level2"/>
      <w:bookmarkStart w:id="44" w:name="_Toc23591_WPSOffice_Level2"/>
      <w:bookmarkStart w:id="45" w:name="_Toc13701_WPSOffice_Level2"/>
      <w:bookmarkStart w:id="46" w:name="_Toc7988_WPSOffice_Level2"/>
      <w:bookmarkStart w:id="47" w:name="_Toc21415_WPSOffice_Level2"/>
      <w:bookmarkStart w:id="48" w:name="_Toc23493_WPSOffice_Level2"/>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color w:val="000000" w:themeColor="text1"/>
          <w:sz w:val="32"/>
          <w:szCs w:val="32"/>
          <w:shd w:val="clear" w:color="auto" w:fill="auto"/>
          <w14:textFill>
            <w14:solidFill>
              <w14:schemeClr w14:val="tx1"/>
            </w14:solidFill>
          </w14:textFill>
        </w:rPr>
        <w:t>四、财政拨款收入支出决算公开表</w:t>
      </w:r>
      <w:bookmarkEnd w:id="43"/>
      <w:bookmarkEnd w:id="44"/>
      <w:bookmarkEnd w:id="45"/>
      <w:bookmarkEnd w:id="46"/>
      <w:bookmarkEnd w:id="47"/>
      <w:bookmarkEnd w:id="48"/>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bookmarkStart w:id="49" w:name="_Toc25166_WPSOffice_Level2"/>
      <w:bookmarkStart w:id="50" w:name="_Toc7879_WPSOffice_Level2"/>
      <w:bookmarkStart w:id="51" w:name="_Toc23829_WPSOffice_Level2"/>
      <w:bookmarkStart w:id="52" w:name="_Toc22783_WPSOffice_Level2"/>
      <w:bookmarkStart w:id="53" w:name="_Toc13516_WPSOffice_Level2"/>
      <w:bookmarkStart w:id="54" w:name="_Toc2158_WPSOffice_Level2"/>
      <w:r>
        <w:rPr>
          <w:rFonts w:hint="eastAsia" w:ascii="黑体" w:hAnsi="黑体" w:eastAsia="黑体" w:cs="黑体"/>
          <w:color w:val="000000" w:themeColor="text1"/>
          <w:sz w:val="32"/>
          <w:szCs w:val="32"/>
          <w:shd w:val="clear" w:color="auto" w:fill="auto"/>
          <w14:textFill>
            <w14:solidFill>
              <w14:schemeClr w14:val="tx1"/>
            </w14:solidFill>
          </w14:textFill>
        </w:rPr>
        <w:t>五、一般公共预算财政拨款收入支出决算</w:t>
      </w:r>
      <w:bookmarkEnd w:id="49"/>
      <w:bookmarkEnd w:id="50"/>
      <w:bookmarkEnd w:id="51"/>
      <w:bookmarkEnd w:id="52"/>
      <w:r>
        <w:rPr>
          <w:rFonts w:hint="eastAsia" w:ascii="黑体" w:hAnsi="黑体" w:eastAsia="黑体" w:cs="黑体"/>
          <w:color w:val="000000" w:themeColor="text1"/>
          <w:sz w:val="32"/>
          <w:szCs w:val="32"/>
          <w:shd w:val="clear" w:color="auto" w:fill="auto"/>
          <w14:textFill>
            <w14:solidFill>
              <w14:schemeClr w14:val="tx1"/>
            </w14:solidFill>
          </w14:textFill>
        </w:rPr>
        <w:t>公开表</w:t>
      </w:r>
      <w:bookmarkEnd w:id="53"/>
      <w:bookmarkEnd w:id="54"/>
      <w:bookmarkStart w:id="55" w:name="_Toc17283_WPSOffice_Level2"/>
      <w:bookmarkStart w:id="56" w:name="_Toc8373_WPSOffice_Level2"/>
      <w:bookmarkStart w:id="57" w:name="_Toc25362_WPSOffice_Level2"/>
      <w:bookmarkStart w:id="58" w:name="_Toc5343_WPSOffice_Level2"/>
      <w:bookmarkStart w:id="59" w:name="_Toc17833_WPSOffice_Level2"/>
      <w:bookmarkStart w:id="60" w:name="_Toc2632_WPSOffice_Level2"/>
    </w:p>
    <w:p>
      <w:pPr>
        <w:spacing w:line="578" w:lineRule="exact"/>
        <w:ind w:firstLine="645"/>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color w:val="000000" w:themeColor="text1"/>
          <w:sz w:val="32"/>
          <w:szCs w:val="32"/>
          <w:shd w:val="clear" w:color="auto" w:fill="auto"/>
          <w14:textFill>
            <w14:solidFill>
              <w14:schemeClr w14:val="tx1"/>
            </w14:solidFill>
          </w14:textFill>
        </w:rPr>
        <w:t>六、一般公共预算财政拨款基本支出决算</w:t>
      </w:r>
      <w:bookmarkEnd w:id="55"/>
      <w:bookmarkEnd w:id="56"/>
      <w:bookmarkEnd w:id="57"/>
      <w:bookmarkEnd w:id="58"/>
      <w:bookmarkEnd w:id="59"/>
      <w:bookmarkEnd w:id="60"/>
      <w:r>
        <w:rPr>
          <w:rFonts w:hint="eastAsia" w:ascii="黑体" w:hAnsi="黑体" w:eastAsia="黑体" w:cs="黑体"/>
          <w:color w:val="000000" w:themeColor="text1"/>
          <w:sz w:val="32"/>
          <w:szCs w:val="32"/>
          <w:shd w:val="clear" w:color="auto" w:fill="auto"/>
          <w14:textFill>
            <w14:solidFill>
              <w14:schemeClr w14:val="tx1"/>
            </w14:solidFill>
          </w14:textFill>
        </w:rPr>
        <w:t>公开表</w:t>
      </w:r>
    </w:p>
    <w:p>
      <w:pPr>
        <w:spacing w:line="578" w:lineRule="exact"/>
        <w:ind w:left="1118" w:leftChars="304" w:hanging="480" w:hangingChars="150"/>
        <w:rPr>
          <w:rFonts w:hint="eastAsia" w:ascii="黑体" w:hAnsi="黑体" w:eastAsia="黑体" w:cs="黑体"/>
          <w:color w:val="000000" w:themeColor="text1"/>
          <w:sz w:val="32"/>
          <w:szCs w:val="32"/>
          <w:shd w:val="clear" w:color="auto" w:fill="auto"/>
          <w14:textFill>
            <w14:solidFill>
              <w14:schemeClr w14:val="tx1"/>
            </w14:solidFill>
          </w14:textFill>
        </w:rPr>
      </w:pPr>
      <w:bookmarkStart w:id="61" w:name="_Toc5594_WPSOffice_Level2"/>
      <w:bookmarkStart w:id="62" w:name="_Toc1533_WPSOffice_Level2"/>
      <w:bookmarkStart w:id="63" w:name="_Toc6020_WPSOffice_Level2"/>
      <w:bookmarkStart w:id="64" w:name="_Toc13345_WPSOffice_Level2"/>
      <w:bookmarkStart w:id="65" w:name="_Toc21310_WPSOffice_Level2"/>
      <w:bookmarkStart w:id="66" w:name="_Toc11799_WPSOffice_Level2"/>
      <w:r>
        <w:rPr>
          <w:rFonts w:hint="eastAsia" w:ascii="黑体" w:hAnsi="黑体" w:eastAsia="黑体" w:cs="黑体"/>
          <w:color w:val="000000" w:themeColor="text1"/>
          <w:sz w:val="32"/>
          <w:szCs w:val="32"/>
          <w:shd w:val="clear" w:color="auto" w:fill="auto"/>
          <w14:textFill>
            <w14:solidFill>
              <w14:schemeClr w14:val="tx1"/>
            </w14:solidFill>
          </w14:textFill>
        </w:rPr>
        <w:t>七、政府性基金预算财政拨款收入支出决算</w:t>
      </w:r>
      <w:bookmarkEnd w:id="61"/>
      <w:bookmarkEnd w:id="62"/>
      <w:bookmarkEnd w:id="63"/>
      <w:bookmarkEnd w:id="64"/>
      <w:bookmarkEnd w:id="65"/>
      <w:bookmarkEnd w:id="66"/>
      <w:r>
        <w:rPr>
          <w:rFonts w:hint="eastAsia" w:ascii="黑体" w:hAnsi="黑体" w:eastAsia="黑体" w:cs="黑体"/>
          <w:color w:val="000000" w:themeColor="text1"/>
          <w:sz w:val="32"/>
          <w:szCs w:val="32"/>
          <w:shd w:val="clear" w:color="auto" w:fill="auto"/>
          <w14:textFill>
            <w14:solidFill>
              <w14:schemeClr w14:val="tx1"/>
            </w14:solidFill>
          </w14:textFill>
        </w:rPr>
        <w:t>公开表</w:t>
      </w:r>
    </w:p>
    <w:p>
      <w:pPr>
        <w:spacing w:line="578" w:lineRule="exact"/>
        <w:ind w:left="1118" w:leftChars="304" w:hanging="480" w:hangingChars="150"/>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color w:val="000000" w:themeColor="text1"/>
          <w:sz w:val="32"/>
          <w:szCs w:val="32"/>
          <w:shd w:val="clear" w:color="auto" w:fill="auto"/>
          <w14:textFill>
            <w14:solidFill>
              <w14:schemeClr w14:val="tx1"/>
            </w14:solidFill>
          </w14:textFill>
        </w:rPr>
        <w:t>八、国有资本经营预算财政拨款收入支出决算公开表</w:t>
      </w:r>
    </w:p>
    <w:p>
      <w:pPr>
        <w:spacing w:line="578" w:lineRule="exact"/>
        <w:ind w:firstLine="640"/>
        <w:rPr>
          <w:rFonts w:hint="eastAsia" w:ascii="黑体" w:hAnsi="黑体" w:eastAsia="黑体" w:cs="黑体"/>
          <w:color w:val="000000" w:themeColor="text1"/>
          <w:sz w:val="32"/>
          <w:szCs w:val="32"/>
          <w:shd w:val="clear" w:color="auto" w:fill="auto"/>
          <w14:textFill>
            <w14:solidFill>
              <w14:schemeClr w14:val="tx1"/>
            </w14:solidFill>
          </w14:textFill>
        </w:rPr>
      </w:pPr>
      <w:bookmarkStart w:id="67" w:name="_Toc9377_WPSOffice_Level2"/>
      <w:bookmarkStart w:id="68" w:name="_Toc19961_WPSOffice_Level2"/>
      <w:bookmarkStart w:id="69" w:name="_Toc1820_WPSOffice_Level2"/>
      <w:bookmarkStart w:id="70" w:name="_Toc29886_WPSOffice_Level2"/>
      <w:r>
        <w:rPr>
          <w:rFonts w:hint="eastAsia" w:ascii="黑体" w:hAnsi="黑体" w:eastAsia="黑体" w:cs="黑体"/>
          <w:color w:val="000000" w:themeColor="text1"/>
          <w:sz w:val="32"/>
          <w:szCs w:val="32"/>
          <w:shd w:val="clear" w:color="auto" w:fill="auto"/>
          <w14:textFill>
            <w14:solidFill>
              <w14:schemeClr w14:val="tx1"/>
            </w14:solidFill>
          </w14:textFill>
        </w:rPr>
        <w:t>九、财政拨款“三公”经费支出决算</w:t>
      </w:r>
      <w:bookmarkEnd w:id="67"/>
      <w:bookmarkEnd w:id="68"/>
      <w:bookmarkEnd w:id="69"/>
      <w:bookmarkEnd w:id="70"/>
      <w:r>
        <w:rPr>
          <w:rFonts w:hint="eastAsia" w:ascii="黑体" w:hAnsi="黑体" w:eastAsia="黑体" w:cs="黑体"/>
          <w:color w:val="000000" w:themeColor="text1"/>
          <w:sz w:val="32"/>
          <w:szCs w:val="32"/>
          <w:shd w:val="clear" w:color="auto" w:fill="auto"/>
          <w14:textFill>
            <w14:solidFill>
              <w14:schemeClr w14:val="tx1"/>
            </w14:solidFill>
          </w14:textFill>
        </w:rPr>
        <w:t>公开表</w:t>
      </w:r>
    </w:p>
    <w:p>
      <w:pPr>
        <w:spacing w:line="578" w:lineRule="exact"/>
        <w:ind w:firstLine="640"/>
        <w:rPr>
          <w:rFonts w:hint="eastAsia" w:ascii="仿宋" w:hAnsi="仿宋" w:eastAsia="仿宋" w:cs="仿宋"/>
          <w:color w:val="000000" w:themeColor="text1"/>
          <w:w w:val="100"/>
          <w:sz w:val="32"/>
          <w:szCs w:val="32"/>
          <w:shd w:val="clear" w:color="auto" w:fill="auto"/>
          <w14:textFill>
            <w14:solidFill>
              <w14:schemeClr w14:val="tx1"/>
            </w14:solidFill>
          </w14:textFill>
        </w:rPr>
      </w:pPr>
      <w:r>
        <w:rPr>
          <w:rFonts w:hint="eastAsia" w:ascii="仿宋" w:hAnsi="仿宋" w:eastAsia="仿宋" w:cs="仿宋"/>
          <w:color w:val="000000" w:themeColor="text1"/>
          <w:w w:val="100"/>
          <w:sz w:val="32"/>
          <w:szCs w:val="32"/>
          <w:shd w:val="clear" w:color="auto" w:fill="auto"/>
          <w14:textFill>
            <w14:solidFill>
              <w14:schemeClr w14:val="tx1"/>
            </w14:solidFill>
          </w14:textFill>
        </w:rPr>
        <w:t xml:space="preserve">以上报表见附件1。   </w:t>
      </w:r>
    </w:p>
    <w:p>
      <w:pPr>
        <w:pStyle w:val="2"/>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pStyle w:val="2"/>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pStyle w:val="2"/>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pStyle w:val="2"/>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pStyle w:val="2"/>
        <w:rPr>
          <w:rFonts w:hint="eastAsia" w:ascii="仿宋" w:hAnsi="仿宋" w:eastAsia="仿宋" w:cs="仿宋"/>
          <w:color w:val="000000" w:themeColor="text1"/>
          <w:w w:val="100"/>
          <w:sz w:val="32"/>
          <w:szCs w:val="32"/>
          <w:shd w:val="clear" w:color="auto" w:fill="auto"/>
          <w14:textFill>
            <w14:solidFill>
              <w14:schemeClr w14:val="tx1"/>
            </w14:solidFill>
          </w14:textFill>
        </w:rPr>
      </w:pPr>
    </w:p>
    <w:p>
      <w:pPr>
        <w:spacing w:line="578" w:lineRule="exact"/>
        <w:rPr>
          <w:rFonts w:hint="eastAsia" w:ascii="黑体" w:hAnsi="黑体" w:eastAsia="黑体" w:cs="黑体"/>
          <w:color w:val="000000" w:themeColor="text1"/>
          <w:sz w:val="32"/>
          <w:szCs w:val="32"/>
          <w:shd w:val="clear" w:color="auto" w:fill="auto"/>
          <w14:textFill>
            <w14:solidFill>
              <w14:schemeClr w14:val="tx1"/>
            </w14:solidFill>
          </w14:textFill>
        </w:rPr>
      </w:pPr>
    </w:p>
    <w:p>
      <w:pPr>
        <w:spacing w:line="578" w:lineRule="exact"/>
        <w:jc w:val="center"/>
        <w:rPr>
          <w:rFonts w:hint="eastAsia" w:ascii="黑体" w:hAnsi="ˎ̥" w:eastAsia="黑体"/>
          <w:color w:val="000000" w:themeColor="text1"/>
          <w:sz w:val="32"/>
          <w:szCs w:val="32"/>
          <w:shd w:val="clear" w:color="auto" w:fill="auto"/>
          <w14:textFill>
            <w14:solidFill>
              <w14:schemeClr w14:val="tx1"/>
            </w14:solidFill>
          </w14:textFill>
        </w:rPr>
      </w:pPr>
      <w:bookmarkStart w:id="71" w:name="_Toc27590_WPSOffice_Level1"/>
      <w:bookmarkStart w:id="72" w:name="_Toc31264_WPSOffice_Level1"/>
      <w:bookmarkStart w:id="73" w:name="_Toc4402_WPSOffice_Level1"/>
      <w:bookmarkStart w:id="74" w:name="_Toc16686_WPSOffice_Level1"/>
      <w:bookmarkStart w:id="75" w:name="_Toc29683_WPSOffice_Level1"/>
      <w:bookmarkStart w:id="76" w:name="_Toc28629_WPSOffice_Level1"/>
      <w:r>
        <w:rPr>
          <w:rFonts w:hint="eastAsia" w:ascii="黑体" w:hAnsi="ˎ̥" w:eastAsia="黑体"/>
          <w:color w:val="000000" w:themeColor="text1"/>
          <w:sz w:val="32"/>
          <w:szCs w:val="32"/>
          <w:shd w:val="clear" w:color="auto" w:fill="auto"/>
          <w14:textFill>
            <w14:solidFill>
              <w14:schemeClr w14:val="tx1"/>
            </w14:solidFill>
          </w14:textFill>
        </w:rPr>
        <w:t xml:space="preserve">第三部分  </w:t>
      </w:r>
      <w:r>
        <w:rPr>
          <w:rFonts w:hint="default" w:ascii="黑体" w:hAnsi="ˎ̥" w:eastAsia="黑体"/>
          <w:color w:val="000000" w:themeColor="text1"/>
          <w:sz w:val="32"/>
          <w:szCs w:val="32"/>
          <w:shd w:val="clear" w:color="auto" w:fill="auto"/>
          <w:lang w:val="en-US"/>
          <w14:textFill>
            <w14:solidFill>
              <w14:schemeClr w14:val="tx1"/>
            </w14:solidFill>
          </w14:textFill>
        </w:rPr>
        <w:t>2025</w:t>
      </w:r>
      <w:r>
        <w:rPr>
          <w:rFonts w:hint="eastAsia" w:ascii="黑体" w:hAnsi="ˎ̥" w:eastAsia="黑体"/>
          <w:color w:val="000000" w:themeColor="text1"/>
          <w:sz w:val="32"/>
          <w:szCs w:val="32"/>
          <w:shd w:val="clear" w:color="auto" w:fill="auto"/>
          <w14:textFill>
            <w14:solidFill>
              <w14:schemeClr w14:val="tx1"/>
            </w14:solidFill>
          </w14:textFill>
        </w:rPr>
        <w:t>年度部门决算情况说明</w:t>
      </w:r>
      <w:bookmarkEnd w:id="71"/>
      <w:bookmarkEnd w:id="72"/>
      <w:bookmarkEnd w:id="73"/>
      <w:bookmarkEnd w:id="74"/>
      <w:bookmarkEnd w:id="75"/>
      <w:bookmarkEnd w:id="76"/>
    </w:p>
    <w:p>
      <w:pPr>
        <w:spacing w:line="578" w:lineRule="exact"/>
        <w:jc w:val="center"/>
        <w:rPr>
          <w:rFonts w:hint="eastAsia" w:ascii="黑体" w:hAnsi="ˎ̥" w:eastAsia="黑体"/>
          <w:color w:val="000000" w:themeColor="text1"/>
          <w:sz w:val="32"/>
          <w:szCs w:val="32"/>
          <w:shd w:val="clear" w:color="auto" w:fill="auto"/>
          <w14:textFill>
            <w14:solidFill>
              <w14:schemeClr w14:val="tx1"/>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收入支出总体情况说明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年度收入总计</w:t>
      </w:r>
      <w:r>
        <w:rPr>
          <w:rFonts w:hint="eastAsia" w:ascii="仿宋" w:hAnsi="仿宋" w:eastAsia="仿宋" w:cs="仿宋"/>
          <w:color w:val="000000" w:themeColor="text1"/>
          <w:sz w:val="32"/>
          <w:szCs w:val="32"/>
          <w:shd w:val="clear" w:color="auto" w:fill="auto"/>
          <w:lang w:val="en-US"/>
          <w14:textFill>
            <w14:solidFill>
              <w14:schemeClr w14:val="tx1"/>
            </w14:solidFill>
          </w14:textFill>
        </w:rPr>
        <w:t>8,447.04</w:t>
      </w:r>
      <w:r>
        <w:rPr>
          <w:rFonts w:hint="eastAsia" w:ascii="仿宋" w:hAnsi="仿宋" w:eastAsia="仿宋" w:cs="仿宋"/>
          <w:color w:val="000000" w:themeColor="text1"/>
          <w:sz w:val="32"/>
          <w:szCs w:val="32"/>
          <w:shd w:val="clear" w:color="auto" w:fill="auto"/>
          <w14:textFill>
            <w14:solidFill>
              <w14:schemeClr w14:val="tx1"/>
            </w14:solidFill>
          </w14:textFill>
        </w:rPr>
        <w:t>万元，支出总计</w:t>
      </w:r>
      <w:r>
        <w:rPr>
          <w:rFonts w:hint="eastAsia" w:ascii="仿宋" w:hAnsi="仿宋" w:eastAsia="仿宋" w:cs="仿宋"/>
          <w:color w:val="000000" w:themeColor="text1"/>
          <w:sz w:val="32"/>
          <w:szCs w:val="32"/>
          <w:shd w:val="clear" w:color="auto" w:fill="auto"/>
          <w:lang w:val="en-US"/>
          <w14:textFill>
            <w14:solidFill>
              <w14:schemeClr w14:val="tx1"/>
            </w14:solidFill>
          </w14:textFill>
        </w:rPr>
        <w:t>8,447.04</w:t>
      </w:r>
      <w:r>
        <w:rPr>
          <w:rFonts w:hint="eastAsia" w:ascii="仿宋" w:hAnsi="仿宋" w:eastAsia="仿宋" w:cs="仿宋"/>
          <w:color w:val="000000" w:themeColor="text1"/>
          <w:sz w:val="32"/>
          <w:szCs w:val="32"/>
          <w:shd w:val="clear" w:color="auto" w:fill="auto"/>
          <w14:textFill>
            <w14:solidFill>
              <w14:schemeClr w14:val="tx1"/>
            </w14:solidFill>
          </w14:textFill>
        </w:rPr>
        <w:t>万元，与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年度相比，收入、支出总计各增加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244.84</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2.99</w:t>
      </w:r>
      <w:r>
        <w:rPr>
          <w:rFonts w:hint="eastAsia" w:ascii="仿宋" w:hAnsi="仿宋" w:eastAsia="仿宋" w:cs="仿宋"/>
          <w:color w:val="000000" w:themeColor="text1"/>
          <w:sz w:val="32"/>
          <w:szCs w:val="32"/>
          <w:shd w:val="clear" w:color="auto" w:fill="auto"/>
          <w14:textFill>
            <w14:solidFill>
              <w14:schemeClr w14:val="tx1"/>
            </w14:solidFill>
          </w14:textFill>
        </w:rPr>
        <w:t>%。主要原因：一是</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2025年新入职4名民警工资社保，加之社保基数增加，经费增加</w:t>
      </w:r>
      <w:r>
        <w:rPr>
          <w:rFonts w:hint="eastAsia" w:ascii="仿宋" w:hAnsi="仿宋" w:eastAsia="仿宋" w:cs="仿宋"/>
          <w:color w:val="000000" w:themeColor="text1"/>
          <w:sz w:val="32"/>
          <w:szCs w:val="32"/>
          <w:shd w:val="clear" w:color="auto" w:fill="auto"/>
          <w14:textFill>
            <w14:solidFill>
              <w14:schemeClr w14:val="tx1"/>
            </w14:solidFill>
          </w14:textFill>
        </w:rPr>
        <w:t>；二</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是辖区内重大安保期限延长，相关经费增加，因此较上年度增加</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（一</w:t>
      </w:r>
      <w:r>
        <w:rPr>
          <w:rFonts w:ascii="楷体" w:hAnsi="楷体" w:eastAsia="楷体" w:cs="楷体"/>
          <w:color w:val="000000" w:themeColor="text1"/>
          <w:sz w:val="32"/>
          <w:szCs w:val="32"/>
          <w:shd w:val="clear" w:color="auto" w:fill="auto"/>
          <w14:textFill>
            <w14:solidFill>
              <w14:schemeClr w14:val="tx1"/>
            </w14:solidFill>
          </w14:textFill>
        </w:rPr>
        <w:t>）</w:t>
      </w:r>
      <w:r>
        <w:rPr>
          <w:rFonts w:hint="eastAsia" w:ascii="楷体" w:hAnsi="楷体" w:eastAsia="楷体" w:cs="楷体"/>
          <w:color w:val="000000" w:themeColor="text1"/>
          <w:sz w:val="32"/>
          <w:szCs w:val="32"/>
          <w:shd w:val="clear" w:color="auto" w:fill="auto"/>
          <w14:textFill>
            <w14:solidFill>
              <w14:schemeClr w14:val="tx1"/>
            </w14:solidFill>
          </w14:textFill>
        </w:rPr>
        <w:t>收入</w:t>
      </w:r>
      <w:r>
        <w:rPr>
          <w:rFonts w:ascii="楷体" w:hAnsi="楷体" w:eastAsia="楷体" w:cs="楷体"/>
          <w:color w:val="000000" w:themeColor="text1"/>
          <w:sz w:val="32"/>
          <w:szCs w:val="32"/>
          <w:shd w:val="clear" w:color="auto" w:fill="auto"/>
          <w14:textFill>
            <w14:solidFill>
              <w14:schemeClr w14:val="tx1"/>
            </w14:solidFill>
          </w14:textFill>
        </w:rPr>
        <w:t>总计</w:t>
      </w:r>
      <w:r>
        <w:rPr>
          <w:rFonts w:hint="eastAsia" w:ascii="楷体" w:hAnsi="楷体" w:eastAsia="楷体" w:cs="楷体"/>
          <w:color w:val="000000" w:themeColor="text1"/>
          <w:sz w:val="32"/>
          <w:szCs w:val="32"/>
          <w:shd w:val="clear" w:color="auto" w:fill="auto"/>
          <w14:textFill>
            <w14:solidFill>
              <w14:schemeClr w14:val="tx1"/>
            </w14:solidFill>
          </w14:textFill>
        </w:rPr>
        <w:t>主要</w:t>
      </w:r>
      <w:r>
        <w:rPr>
          <w:rFonts w:ascii="楷体" w:hAnsi="楷体" w:eastAsia="楷体" w:cs="楷体"/>
          <w:color w:val="000000" w:themeColor="text1"/>
          <w:sz w:val="32"/>
          <w:szCs w:val="32"/>
          <w:shd w:val="clear" w:color="auto" w:fill="auto"/>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本年收入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8,252.92</w:t>
      </w:r>
      <w:r>
        <w:rPr>
          <w:rFonts w:hint="eastAsia" w:ascii="仿宋" w:hAnsi="仿宋" w:eastAsia="仿宋" w:cs="仿宋"/>
          <w:color w:val="000000" w:themeColor="text1"/>
          <w:sz w:val="32"/>
          <w:szCs w:val="32"/>
          <w:shd w:val="clear" w:color="auto" w:fill="auto"/>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使用非财政拨款结余</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万元，较</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年度决算数增加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万元，主要原因是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本单位是行政单位，无事业收入、经营收入、非财政性专项资金等非财政拨款资金来源，非财政拨款当年无结余留存，因此期末余额与上年决算数持平</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年初结转结余</w:t>
      </w:r>
      <w:r>
        <w:rPr>
          <w:rFonts w:hint="eastAsia" w:ascii="仿宋" w:hAnsi="仿宋" w:eastAsia="仿宋" w:cs="仿宋"/>
          <w:color w:val="000000" w:themeColor="text1"/>
          <w:sz w:val="32"/>
          <w:szCs w:val="32"/>
          <w:shd w:val="clear" w:color="auto" w:fill="auto"/>
          <w:lang w:val="en-US"/>
          <w14:textFill>
            <w14:solidFill>
              <w14:schemeClr w14:val="tx1"/>
            </w14:solidFill>
          </w14:textFill>
        </w:rPr>
        <w:t>194.12</w:t>
      </w:r>
      <w:r>
        <w:rPr>
          <w:rFonts w:hint="eastAsia" w:ascii="仿宋" w:hAnsi="仿宋" w:eastAsia="仿宋" w:cs="仿宋"/>
          <w:color w:val="000000" w:themeColor="text1"/>
          <w:sz w:val="32"/>
          <w:szCs w:val="32"/>
          <w:shd w:val="clear" w:color="auto" w:fill="auto"/>
          <w14:textFill>
            <w14:solidFill>
              <w14:schemeClr w14:val="tx1"/>
            </w14:solidFill>
          </w14:textFill>
        </w:rPr>
        <w:t>万元，主要是</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2024年单位实有资金非本级财政拨款年末结转结余</w:t>
      </w:r>
      <w:r>
        <w:rPr>
          <w:rFonts w:hint="eastAsia" w:ascii="仿宋" w:hAnsi="仿宋" w:eastAsia="仿宋" w:cs="仿宋"/>
          <w:color w:val="000000" w:themeColor="text1"/>
          <w:sz w:val="32"/>
          <w:szCs w:val="32"/>
          <w:shd w:val="clear" w:color="auto" w:fill="auto"/>
          <w14:textFill>
            <w14:solidFill>
              <w14:schemeClr w14:val="tx1"/>
            </w14:solidFill>
          </w14:textFill>
        </w:rPr>
        <w:t>，较</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年度决算数减少</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193.75</w:t>
      </w:r>
      <w:r>
        <w:rPr>
          <w:rFonts w:hint="eastAsia" w:ascii="仿宋" w:hAnsi="仿宋" w:eastAsia="仿宋" w:cs="仿宋"/>
          <w:color w:val="000000" w:themeColor="text1"/>
          <w:sz w:val="32"/>
          <w:szCs w:val="32"/>
          <w:shd w:val="clear" w:color="auto" w:fill="auto"/>
          <w14:textFill>
            <w14:solidFill>
              <w14:schemeClr w14:val="tx1"/>
            </w14:solidFill>
          </w14:textFill>
        </w:rPr>
        <w:t>万元，下降</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49.95</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上年度结转项目资金本年度加快执行，存量资金有序消化；预算调整，部分上年结转项目调整实施内容，资金统筹调剂使用，结转结余响应减少</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lang w:eastAsia="zh-CN"/>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（二</w:t>
      </w:r>
      <w:r>
        <w:rPr>
          <w:rFonts w:ascii="楷体" w:hAnsi="楷体" w:eastAsia="楷体" w:cs="楷体"/>
          <w:color w:val="000000" w:themeColor="text1"/>
          <w:sz w:val="32"/>
          <w:szCs w:val="32"/>
          <w:shd w:val="clear" w:color="auto" w:fill="auto"/>
          <w14:textFill>
            <w14:solidFill>
              <w14:schemeClr w14:val="tx1"/>
            </w14:solidFill>
          </w14:textFill>
        </w:rPr>
        <w:t>）</w:t>
      </w:r>
      <w:r>
        <w:rPr>
          <w:rFonts w:hint="eastAsia" w:ascii="楷体" w:hAnsi="楷体" w:eastAsia="楷体" w:cs="楷体"/>
          <w:color w:val="000000" w:themeColor="text1"/>
          <w:sz w:val="32"/>
          <w:szCs w:val="32"/>
          <w:shd w:val="clear" w:color="auto" w:fill="auto"/>
          <w14:textFill>
            <w14:solidFill>
              <w14:schemeClr w14:val="tx1"/>
            </w14:solidFill>
          </w14:textFill>
        </w:rPr>
        <w:t>支出</w:t>
      </w:r>
      <w:r>
        <w:rPr>
          <w:rFonts w:ascii="楷体" w:hAnsi="楷体" w:eastAsia="楷体" w:cs="楷体"/>
          <w:color w:val="000000" w:themeColor="text1"/>
          <w:sz w:val="32"/>
          <w:szCs w:val="32"/>
          <w:shd w:val="clear" w:color="auto" w:fill="auto"/>
          <w14:textFill>
            <w14:solidFill>
              <w14:schemeClr w14:val="tx1"/>
            </w14:solidFill>
          </w14:textFill>
        </w:rPr>
        <w:t>总计</w:t>
      </w:r>
      <w:r>
        <w:rPr>
          <w:rFonts w:hint="eastAsia" w:ascii="楷体" w:hAnsi="楷体" w:eastAsia="楷体" w:cs="楷体"/>
          <w:color w:val="000000" w:themeColor="text1"/>
          <w:sz w:val="32"/>
          <w:szCs w:val="32"/>
          <w:shd w:val="clear" w:color="auto" w:fill="auto"/>
          <w14:textFill>
            <w14:solidFill>
              <w14:schemeClr w14:val="tx1"/>
            </w14:solidFill>
          </w14:textFill>
        </w:rPr>
        <w:t>主要</w:t>
      </w:r>
      <w:r>
        <w:rPr>
          <w:rFonts w:ascii="楷体" w:hAnsi="楷体" w:eastAsia="楷体" w:cs="楷体"/>
          <w:color w:val="000000" w:themeColor="text1"/>
          <w:sz w:val="32"/>
          <w:szCs w:val="32"/>
          <w:shd w:val="clear" w:color="auto" w:fill="auto"/>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本年支出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8,109.03</w:t>
      </w:r>
      <w:r>
        <w:rPr>
          <w:rFonts w:hint="eastAsia" w:ascii="仿宋" w:hAnsi="仿宋" w:eastAsia="仿宋" w:cs="仿宋"/>
          <w:color w:val="000000" w:themeColor="text1"/>
          <w:sz w:val="32"/>
          <w:szCs w:val="32"/>
          <w:shd w:val="clear" w:color="auto" w:fill="auto"/>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结余分配</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万元，主要是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当年财政拨款预算资金全部用于对应项目及基本支出</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收支执行匹配，项目完成后无剩余资金，未形成财政拨款结余，</w:t>
      </w:r>
      <w:r>
        <w:rPr>
          <w:rFonts w:hint="eastAsia" w:ascii="仿宋" w:hAnsi="仿宋" w:eastAsia="仿宋" w:cs="仿宋"/>
          <w:color w:val="000000" w:themeColor="text1"/>
          <w:sz w:val="32"/>
          <w:szCs w:val="32"/>
          <w:shd w:val="clear" w:color="auto" w:fill="auto"/>
          <w14:textFill>
            <w14:solidFill>
              <w14:schemeClr w14:val="tx1"/>
            </w14:solidFill>
          </w14:textFill>
        </w:rPr>
        <w:t>较</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年度决算数增加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本年、上年均无财政拨款结余，未发生结余分配业务，发生额均为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0，较上年度决算数无变动</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年末结转结余</w:t>
      </w:r>
      <w:r>
        <w:rPr>
          <w:rFonts w:hint="eastAsia" w:ascii="仿宋" w:hAnsi="仿宋" w:eastAsia="仿宋" w:cs="仿宋"/>
          <w:color w:val="000000" w:themeColor="text1"/>
          <w:sz w:val="32"/>
          <w:szCs w:val="32"/>
          <w:shd w:val="clear" w:color="auto" w:fill="auto"/>
          <w:lang w:val="en-US"/>
          <w14:textFill>
            <w14:solidFill>
              <w14:schemeClr w14:val="tx1"/>
            </w14:solidFill>
          </w14:textFill>
        </w:rPr>
        <w:t>338.01</w:t>
      </w:r>
      <w:r>
        <w:rPr>
          <w:rFonts w:hint="eastAsia" w:ascii="仿宋" w:hAnsi="仿宋" w:eastAsia="仿宋" w:cs="仿宋"/>
          <w:color w:val="000000" w:themeColor="text1"/>
          <w:sz w:val="32"/>
          <w:szCs w:val="32"/>
          <w:shd w:val="clear" w:color="auto" w:fill="auto"/>
          <w14:textFill>
            <w14:solidFill>
              <w14:schemeClr w14:val="tx1"/>
            </w14:solidFill>
          </w14:textFill>
        </w:rPr>
        <w:t>万元，主要是</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2025年单位实有资金非本级财政拨款年末结转结余</w:t>
      </w:r>
      <w:r>
        <w:rPr>
          <w:rFonts w:hint="eastAsia" w:ascii="仿宋" w:hAnsi="仿宋" w:eastAsia="仿宋" w:cs="仿宋"/>
          <w:color w:val="000000" w:themeColor="text1"/>
          <w:sz w:val="32"/>
          <w:szCs w:val="32"/>
          <w:shd w:val="clear" w:color="auto" w:fill="auto"/>
          <w14:textFill>
            <w14:solidFill>
              <w14:schemeClr w14:val="tx1"/>
            </w14:solidFill>
          </w14:textFill>
        </w:rPr>
        <w:t>，较</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年度决算数增加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143.89</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74.12</w:t>
      </w:r>
      <w:r>
        <w:rPr>
          <w:rFonts w:hint="eastAsia" w:ascii="仿宋" w:hAnsi="仿宋" w:eastAsia="仿宋" w:cs="仿宋"/>
          <w:color w:val="000000" w:themeColor="text1"/>
          <w:sz w:val="32"/>
          <w:szCs w:val="32"/>
          <w:shd w:val="clear" w:color="auto" w:fill="auto"/>
          <w14:textFill>
            <w14:solidFill>
              <w14:schemeClr w14:val="tx1"/>
            </w14:solidFill>
          </w14:textFill>
        </w:rPr>
        <w:t>%，主要原因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是辅警12月份伙食费、年度一次性绩效及冬季安保基础设施修缮等费用跨年度报销，致使2025年底产生项目结余</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本年收入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8,252.92</w:t>
      </w:r>
      <w:r>
        <w:rPr>
          <w:rFonts w:hint="eastAsia" w:ascii="仿宋" w:hAnsi="仿宋" w:eastAsia="仿宋" w:cs="仿宋"/>
          <w:color w:val="000000" w:themeColor="text1"/>
          <w:sz w:val="32"/>
          <w:szCs w:val="32"/>
          <w:shd w:val="clear" w:color="auto" w:fill="auto"/>
          <w14:textFill>
            <w14:solidFill>
              <w14:schemeClr w14:val="tx1"/>
            </w14:solidFill>
          </w14:textFill>
        </w:rPr>
        <w:t>万元，其中：财政拨款收入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47.87</w:t>
      </w:r>
      <w:r>
        <w:rPr>
          <w:rFonts w:hint="eastAsia" w:ascii="仿宋" w:hAnsi="仿宋" w:eastAsia="仿宋" w:cs="仿宋"/>
          <w:color w:val="000000" w:themeColor="text1"/>
          <w:sz w:val="32"/>
          <w:szCs w:val="32"/>
          <w:shd w:val="clear" w:color="auto" w:fill="auto"/>
          <w14:textFill>
            <w14:solidFill>
              <w14:schemeClr w14:val="tx1"/>
            </w14:solidFill>
          </w14:textFill>
        </w:rPr>
        <w:t>%；上级补助收入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%；事业收入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%；经营收入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%；附属单位上缴收入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%；其他收入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4,302.59</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52.13</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lang w:val="en-US" w:eastAsia="zh-CN"/>
          <w14:textFill>
            <w14:solidFill>
              <w14:schemeClr w14:val="tx1"/>
            </w14:solidFill>
          </w14:textFill>
        </w:rPr>
        <w:t xml:space="preserve"> </w:t>
      </w:r>
      <w:r>
        <w:rPr>
          <w:rFonts w:hint="eastAsia" w:ascii="黑体" w:hAnsi="黑体" w:eastAsia="黑体" w:cs="黑体"/>
          <w:bCs/>
          <w:color w:val="000000" w:themeColor="text1"/>
          <w:sz w:val="32"/>
          <w:szCs w:val="32"/>
          <w:shd w:val="clear" w:color="auto" w:fill="auto"/>
          <w14:textFill>
            <w14:solidFill>
              <w14:schemeClr w14:val="tx1"/>
            </w14:solidFill>
          </w14:textFill>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本年支出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8,109.03</w:t>
      </w:r>
      <w:r>
        <w:rPr>
          <w:rFonts w:hint="eastAsia" w:ascii="仿宋" w:hAnsi="仿宋" w:eastAsia="仿宋" w:cs="仿宋"/>
          <w:color w:val="000000" w:themeColor="text1"/>
          <w:sz w:val="32"/>
          <w:szCs w:val="32"/>
          <w:shd w:val="clear" w:color="auto" w:fill="auto"/>
          <w14:textFill>
            <w14:solidFill>
              <w14:schemeClr w14:val="tx1"/>
            </w14:solidFill>
          </w14:textFill>
        </w:rPr>
        <w:t>万元，其中：基本支出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2,343.82</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28.90</w:t>
      </w:r>
      <w:r>
        <w:rPr>
          <w:rFonts w:hint="eastAsia" w:ascii="仿宋" w:hAnsi="仿宋" w:eastAsia="仿宋" w:cs="仿宋"/>
          <w:color w:val="000000" w:themeColor="text1"/>
          <w:sz w:val="32"/>
          <w:szCs w:val="32"/>
          <w:shd w:val="clear" w:color="auto" w:fill="auto"/>
          <w14:textFill>
            <w14:solidFill>
              <w14:schemeClr w14:val="tx1"/>
            </w14:solidFill>
          </w14:textFill>
        </w:rPr>
        <w:t>%；项目支出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5,765.21</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71.10</w:t>
      </w:r>
      <w:r>
        <w:rPr>
          <w:rFonts w:hint="eastAsia" w:ascii="仿宋" w:hAnsi="仿宋" w:eastAsia="仿宋" w:cs="仿宋"/>
          <w:color w:val="000000" w:themeColor="text1"/>
          <w:sz w:val="32"/>
          <w:szCs w:val="32"/>
          <w:shd w:val="clear" w:color="auto" w:fill="auto"/>
          <w14:textFill>
            <w14:solidFill>
              <w14:schemeClr w14:val="tx1"/>
            </w14:solidFill>
          </w14:textFill>
        </w:rPr>
        <w:t>%；上缴上级支出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%；经营支出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%；对附属单位补助支出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年度财政拨款收入</w:t>
      </w:r>
      <w:r>
        <w:rPr>
          <w:rFonts w:hint="eastAsia" w:ascii="仿宋" w:hAnsi="仿宋" w:eastAsia="仿宋" w:cs="仿宋"/>
          <w:color w:val="000000" w:themeColor="text1"/>
          <w:sz w:val="32"/>
          <w:szCs w:val="32"/>
          <w:shd w:val="clear" w:color="auto" w:fill="auto"/>
          <w:lang w:val="en-US"/>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年度相比，财政拨款收入增加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360.21</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10.03</w:t>
      </w:r>
      <w:r>
        <w:rPr>
          <w:rFonts w:hint="eastAsia" w:ascii="仿宋" w:hAnsi="仿宋" w:eastAsia="仿宋" w:cs="仿宋"/>
          <w:color w:val="000000" w:themeColor="text1"/>
          <w:sz w:val="32"/>
          <w:szCs w:val="32"/>
          <w:shd w:val="clear" w:color="auto" w:fill="auto"/>
          <w14:textFill>
            <w14:solidFill>
              <w14:schemeClr w14:val="tx1"/>
            </w14:solidFill>
          </w14:textFill>
        </w:rPr>
        <w:t>%，主要原因：一是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在编人员经费、公用经费根据人员人事变动、经费保障标准调整，收入相对于提高</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根据上级工资部署，相关业务保障标准提高，财政配套预算增加</w:t>
      </w:r>
      <w:r>
        <w:rPr>
          <w:rFonts w:hint="eastAsia" w:ascii="仿宋" w:hAnsi="仿宋" w:eastAsia="仿宋" w:cs="仿宋"/>
          <w:color w:val="000000" w:themeColor="text1"/>
          <w:sz w:val="32"/>
          <w:szCs w:val="32"/>
          <w:shd w:val="clear" w:color="auto" w:fill="auto"/>
          <w14:textFill>
            <w14:solidFill>
              <w14:schemeClr w14:val="tx1"/>
            </w14:solidFill>
          </w14:textFill>
        </w:rPr>
        <w:t>。支出增加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360.21</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10.03</w:t>
      </w:r>
      <w:r>
        <w:rPr>
          <w:rFonts w:hint="eastAsia" w:ascii="仿宋" w:hAnsi="仿宋" w:eastAsia="仿宋" w:cs="仿宋"/>
          <w:color w:val="000000" w:themeColor="text1"/>
          <w:sz w:val="32"/>
          <w:szCs w:val="32"/>
          <w:shd w:val="clear" w:color="auto" w:fill="auto"/>
          <w14:textFill>
            <w14:solidFill>
              <w14:schemeClr w14:val="tx1"/>
            </w14:solidFill>
          </w14:textFill>
        </w:rPr>
        <w:t>%，主要原因：一是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基本支出增长，人员薪酬、社保等人员经费调整，日常公用保障标准提升</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辖区内重大安保任务期限延长，相关经费增加；三是辖区社会电信诈骗案发案数上升，异地侦办业务费开支增加</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财政拨款年初结转结余</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万元，主要是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上年度财政资金执行到位，所有项目均已办结，无资金滚存结转，年初结转结余为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0万元</w:t>
      </w:r>
      <w:r>
        <w:rPr>
          <w:rFonts w:hint="eastAsia" w:ascii="仿宋" w:hAnsi="仿宋" w:eastAsia="仿宋" w:cs="仿宋"/>
          <w:color w:val="000000" w:themeColor="text1"/>
          <w:sz w:val="32"/>
          <w:szCs w:val="32"/>
          <w:shd w:val="clear" w:color="auto" w:fill="auto"/>
          <w14:textFill>
            <w14:solidFill>
              <w14:schemeClr w14:val="tx1"/>
            </w14:solidFill>
          </w14:textFill>
        </w:rPr>
        <w:t>，较</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年度决算数增加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2024年及2025年均无结转的财政资金，年初结转结余均为0万元，同比无变动</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财政拨款年末结转结余</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万元，主要是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本年度财政拨款收支匹配均衡，预算执行进度良好，所有项目均在年内实施完毕并完成结算支付，无未完工待结转项目，年末无财政拨款结转结余资金留存</w:t>
      </w:r>
      <w:r>
        <w:rPr>
          <w:rFonts w:hint="eastAsia" w:ascii="仿宋" w:hAnsi="仿宋" w:eastAsia="仿宋" w:cs="仿宋"/>
          <w:color w:val="000000" w:themeColor="text1"/>
          <w:sz w:val="32"/>
          <w:szCs w:val="32"/>
          <w:shd w:val="clear" w:color="auto" w:fill="auto"/>
          <w14:textFill>
            <w14:solidFill>
              <w14:schemeClr w14:val="tx1"/>
            </w14:solidFill>
          </w14:textFill>
        </w:rPr>
        <w:t>，较</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年度决算数增加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本年、上年年末财政拨款结转结余均为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0万元，项目均按期办结，无留存滚存资金，余额无变化，增长率0%</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bookmarkStart w:id="77" w:name="_Toc19665_WPSOffice_Level2"/>
      <w:bookmarkStart w:id="78" w:name="_Toc17398_WPSOffice_Level2"/>
      <w:bookmarkStart w:id="79" w:name="_Toc21737_WPSOffice_Level2"/>
      <w:bookmarkStart w:id="80" w:name="_Toc9989_WPSOffice_Level2"/>
      <w:bookmarkStart w:id="81" w:name="_Toc23005_WPSOffice_Level2"/>
      <w:bookmarkStart w:id="82" w:name="_Toc13694_WPSOffice_Level2"/>
      <w:r>
        <w:rPr>
          <w:rFonts w:hint="eastAsia" w:ascii="楷体" w:hAnsi="楷体" w:eastAsia="楷体" w:cs="楷体"/>
          <w:color w:val="000000" w:themeColor="text1"/>
          <w:sz w:val="32"/>
          <w:szCs w:val="32"/>
          <w:shd w:val="clear" w:color="auto" w:fill="auto"/>
          <w14:textFill>
            <w14:solidFill>
              <w14:schemeClr w14:val="tx1"/>
            </w14:solidFill>
          </w14:textFill>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年度一般公共预算财政拨款支出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万元，占本年支出合计的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44.28</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年度相比，一般公共预算财政拨款支出增加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360.21</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10.03</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半年度警务保障，勤务运行、办公运维等履职工作量持续增加，日常公用经费、业务保障支出随之增长；安保任务期限延长及装备维护、办公场地运维修维护等任务，项目经费投入加大</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bookmarkStart w:id="83" w:name="_Toc27767_WPSOffice_Level2"/>
      <w:bookmarkStart w:id="84" w:name="_Toc18793_WPSOffice_Level2"/>
      <w:bookmarkStart w:id="85" w:name="_Toc19075_WPSOffice_Level2"/>
      <w:bookmarkStart w:id="86" w:name="_Toc19535_WPSOffice_Level2"/>
      <w:bookmarkStart w:id="87" w:name="_Toc2711_WPSOffice_Level2"/>
      <w:bookmarkStart w:id="88" w:name="_Toc23864_WPSOffice_Level2"/>
      <w:r>
        <w:rPr>
          <w:rFonts w:hint="eastAsia" w:ascii="楷体" w:hAnsi="楷体" w:eastAsia="楷体" w:cs="楷体"/>
          <w:color w:val="000000" w:themeColor="text1"/>
          <w:sz w:val="32"/>
          <w:szCs w:val="32"/>
          <w:shd w:val="clear" w:color="auto" w:fill="auto"/>
          <w14:textFill>
            <w14:solidFill>
              <w14:schemeClr w14:val="tx1"/>
            </w14:solidFill>
          </w14:textFill>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年度一般公共预算财政拨款支出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万元，主要用于以下方面：</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公共安全</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3248.93</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82.24</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14:textFill>
            <w14:solidFill>
              <w14:schemeClr w14:val="tx1"/>
            </w14:solidFill>
          </w14:textFill>
        </w:rPr>
        <w:t>社会保障和就业（类）</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334.18</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8.46</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bCs/>
          <w:color w:val="000000" w:themeColor="text1"/>
          <w:sz w:val="32"/>
          <w:szCs w:val="32"/>
          <w:shd w:val="clear" w:color="auto" w:fill="auto"/>
          <w:lang w:eastAsia="zh-CN"/>
          <w14:textFill>
            <w14:solidFill>
              <w14:schemeClr w14:val="tx1"/>
            </w14:solidFill>
          </w14:textFill>
        </w:rPr>
        <w:t>卫生健康</w:t>
      </w:r>
      <w:r>
        <w:rPr>
          <w:rFonts w:hint="eastAsia" w:ascii="仿宋" w:hAnsi="仿宋" w:eastAsia="仿宋" w:cs="仿宋"/>
          <w:b/>
          <w:bCs/>
          <w:color w:val="000000" w:themeColor="text1"/>
          <w:sz w:val="32"/>
          <w:szCs w:val="32"/>
          <w:shd w:val="clear" w:color="auto" w:fill="auto"/>
          <w14:textFill>
            <w14:solidFill>
              <w14:schemeClr w14:val="tx1"/>
            </w14:solidFill>
          </w14:textFill>
        </w:rPr>
        <w:t>（类）</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200.46</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5.08</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bCs/>
          <w:color w:val="000000" w:themeColor="text1"/>
          <w:sz w:val="32"/>
          <w:szCs w:val="32"/>
          <w:shd w:val="clear" w:color="auto" w:fill="auto"/>
          <w14:textFill>
            <w14:solidFill>
              <w14:schemeClr w14:val="tx1"/>
            </w14:solidFill>
          </w14:textFill>
        </w:rPr>
        <w:t>住房保障（类）</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166.76</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4.22</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bookmarkStart w:id="89" w:name="_Toc22318_WPSOffice_Level2"/>
      <w:bookmarkStart w:id="90" w:name="_Toc29364_WPSOffice_Level2"/>
      <w:bookmarkStart w:id="91" w:name="_Toc25136_WPSOffice_Level2"/>
      <w:bookmarkStart w:id="92" w:name="_Toc21701_WPSOffice_Level2"/>
      <w:bookmarkStart w:id="93" w:name="_Toc15415_WPSOffice_Level2"/>
      <w:bookmarkStart w:id="94" w:name="_Toc9502_WPSOffice_Level2"/>
      <w:r>
        <w:rPr>
          <w:rFonts w:hint="eastAsia" w:ascii="楷体" w:hAnsi="楷体" w:eastAsia="楷体" w:cs="楷体"/>
          <w:color w:val="000000" w:themeColor="text1"/>
          <w:sz w:val="32"/>
          <w:szCs w:val="32"/>
          <w:shd w:val="clear" w:color="auto" w:fill="auto"/>
          <w14:textFill>
            <w14:solidFill>
              <w14:schemeClr w14:val="tx1"/>
            </w14:solidFill>
          </w14:textFill>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年度一般公共预算财政拨款支出年初预算为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14:textFill>
            <w14:solidFill>
              <w14:schemeClr w14:val="tx1"/>
            </w14:solidFill>
          </w14:textFill>
        </w:rPr>
        <w:t>3,950.33</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100</w:t>
      </w:r>
      <w:r>
        <w:rPr>
          <w:rFonts w:hint="eastAsia" w:ascii="仿宋" w:hAnsi="仿宋" w:eastAsia="仿宋" w:cs="仿宋"/>
          <w:color w:val="000000" w:themeColor="text1"/>
          <w:sz w:val="32"/>
          <w:szCs w:val="32"/>
          <w:shd w:val="clear" w:color="auto" w:fill="auto"/>
          <w14:textFill>
            <w14:solidFill>
              <w14:schemeClr w14:val="tx1"/>
            </w14:solidFill>
          </w14:textFill>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1.</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公共安全支出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公安</w:t>
      </w:r>
      <w:r>
        <w:rPr>
          <w:rFonts w:hint="eastAsia" w:ascii="仿宋" w:hAnsi="仿宋" w:eastAsia="仿宋" w:cs="仿宋"/>
          <w:b/>
          <w:color w:val="000000" w:themeColor="text1"/>
          <w:sz w:val="32"/>
          <w:szCs w:val="32"/>
          <w:shd w:val="clear" w:color="auto" w:fill="auto"/>
          <w14:textFill>
            <w14:solidFill>
              <w14:schemeClr w14:val="tx1"/>
            </w14:solidFill>
          </w14:textFill>
        </w:rPr>
        <w:t>（款）行政运行（项）。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1542.25</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1642.42</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103.49</w:t>
      </w:r>
      <w:r>
        <w:rPr>
          <w:rFonts w:hint="eastAsia" w:ascii="仿宋" w:hAnsi="仿宋" w:eastAsia="仿宋" w:cs="仿宋"/>
          <w:color w:val="000000" w:themeColor="text1"/>
          <w:sz w:val="32"/>
          <w:szCs w:val="32"/>
          <w:shd w:val="clear" w:color="auto" w:fill="auto"/>
          <w14:textFill>
            <w14:solidFill>
              <w14:schemeClr w14:val="tx1"/>
            </w14:solidFill>
          </w14:textFill>
        </w:rPr>
        <w:t>%。决算数大于预算数的主要原因：一是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本年度人员、日常办公保障等刚性支出有所增加</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部分临时性、应急性运维保障事项年初难以精准预估，年中据实列支，实际支出略高于年初预算，造成预算执行率小幅超支</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公共安全支出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公安</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一般行政管理事务</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8.90</w:t>
      </w:r>
      <w:r>
        <w:rPr>
          <w:rFonts w:hint="eastAsia" w:ascii="仿宋" w:hAnsi="仿宋" w:eastAsia="仿宋" w:cs="仿宋"/>
          <w:color w:val="000000" w:themeColor="text1"/>
          <w:sz w:val="32"/>
          <w:szCs w:val="32"/>
          <w:shd w:val="clear" w:color="auto" w:fill="auto"/>
          <w14:textFill>
            <w14:solidFill>
              <w14:schemeClr w14:val="tx1"/>
            </w14:solidFill>
          </w14:textFill>
        </w:rPr>
        <w:t>万元。决算数大于预算数的主要原因是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该项资金主要用于市财政保障辅警的工作经费，预算编制工作由上级主管部门负责，本单位仅负责预算执行工作，因此未纳入本单位年初预算编制，预算执行率不作计算</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公共安全支出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公安</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执法办案</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495.27</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1282.56</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258.96</w:t>
      </w:r>
      <w:r>
        <w:rPr>
          <w:rFonts w:hint="eastAsia" w:ascii="仿宋" w:hAnsi="仿宋" w:eastAsia="仿宋" w:cs="仿宋"/>
          <w:color w:val="000000" w:themeColor="text1"/>
          <w:sz w:val="32"/>
          <w:szCs w:val="32"/>
          <w:shd w:val="clear" w:color="auto" w:fill="auto"/>
          <w14:textFill>
            <w14:solidFill>
              <w14:schemeClr w14:val="tx1"/>
            </w14:solidFill>
          </w14:textFill>
        </w:rPr>
        <w:t>%。决算数大于预算数的主要原因：一是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半年度执法办案任务大幅增加，案件数量、现场处置、检验鉴定等业务量较年初预算时预估增幅较大</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年中新增侦办专项案件工作产生的相关耗材、涉案处置、外勤取证等费用支出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公共安全支出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公安</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其他公安支出</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130.62</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315.05</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241.19</w:t>
      </w:r>
      <w:r>
        <w:rPr>
          <w:rFonts w:hint="eastAsia" w:ascii="仿宋" w:hAnsi="仿宋" w:eastAsia="仿宋" w:cs="仿宋"/>
          <w:color w:val="000000" w:themeColor="text1"/>
          <w:sz w:val="32"/>
          <w:szCs w:val="32"/>
          <w:shd w:val="clear" w:color="auto" w:fill="auto"/>
          <w14:textFill>
            <w14:solidFill>
              <w14:schemeClr w14:val="tx1"/>
            </w14:solidFill>
          </w14:textFill>
        </w:rPr>
        <w:t>%。决算数大于预算数的主要原因：一是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本年度新增临时性、保障性公安工作任务，相关经费年初编制预算时未纳入测算</w:t>
      </w:r>
      <w:r>
        <w:rPr>
          <w:rFonts w:hint="eastAsia" w:ascii="仿宋" w:hAnsi="仿宋" w:eastAsia="仿宋" w:cs="仿宋"/>
          <w:color w:val="000000" w:themeColor="text1"/>
          <w:sz w:val="32"/>
          <w:szCs w:val="32"/>
          <w:shd w:val="clear" w:color="auto" w:fill="auto"/>
          <w14:textFill>
            <w14:solidFill>
              <w14:schemeClr w14:val="tx1"/>
            </w14:solidFill>
          </w14:textFill>
        </w:rPr>
        <w:t>；二</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是部分警务保障，设施零星维护等不可预见支出据实发生</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5</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社会保障就业支出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行政事业单位养老</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机关事业单位基本养老保险缴费</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153.26</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248.73</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162.29</w:t>
      </w:r>
      <w:r>
        <w:rPr>
          <w:rFonts w:hint="eastAsia" w:ascii="仿宋" w:hAnsi="仿宋" w:eastAsia="仿宋" w:cs="仿宋"/>
          <w:color w:val="000000" w:themeColor="text1"/>
          <w:sz w:val="32"/>
          <w:szCs w:val="32"/>
          <w:shd w:val="clear" w:color="auto" w:fill="auto"/>
          <w14:textFill>
            <w14:solidFill>
              <w14:schemeClr w14:val="tx1"/>
            </w14:solidFill>
          </w14:textFill>
        </w:rPr>
        <w:t>%。决算数大于预算数的主要原因：一是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本年度人员发生变动，新增人员养老保险缴费增加</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养老保险缴费基数按工资调增政策进行调整，缴费标准提高，养老保险单位缴费支出相应上升；三是年初预算编制时未能精准预判基数及人员变化因素，超预算部分通过单位内部预算调剂统筹保障</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6</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社会保障就业支出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行政事业单位养老</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机关事业单位职业年金缴费</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76.63</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85.45</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111.51</w:t>
      </w:r>
      <w:r>
        <w:rPr>
          <w:rFonts w:hint="eastAsia" w:ascii="仿宋" w:hAnsi="仿宋" w:eastAsia="仿宋" w:cs="仿宋"/>
          <w:color w:val="000000" w:themeColor="text1"/>
          <w:sz w:val="32"/>
          <w:szCs w:val="32"/>
          <w:shd w:val="clear" w:color="auto" w:fill="auto"/>
          <w14:textFill>
            <w14:solidFill>
              <w14:schemeClr w14:val="tx1"/>
            </w14:solidFill>
          </w14:textFill>
        </w:rPr>
        <w:t>%。决算数大于预算数的主要原因：一是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工资基数政策调增，职业年金单位缴费随之上升</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年初预算预估不足，执行率</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111.51%，超支部分内部调剂保障</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卫生健康支出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行政事业单位医疗</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行政单位医疗</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71.13</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56.79</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79.84</w:t>
      </w:r>
      <w:r>
        <w:rPr>
          <w:rFonts w:hint="eastAsia" w:ascii="仿宋" w:hAnsi="仿宋" w:eastAsia="仿宋" w:cs="仿宋"/>
          <w:color w:val="000000" w:themeColor="text1"/>
          <w:sz w:val="32"/>
          <w:szCs w:val="32"/>
          <w:shd w:val="clear" w:color="auto" w:fill="auto"/>
          <w14:textFill>
            <w14:solidFill>
              <w14:schemeClr w14:val="tx1"/>
            </w14:solidFill>
          </w14:textFill>
        </w:rPr>
        <w:t>%。决算数小于预算数的主要原因：一是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本年度人员就医、体检等医疗相关支出较年初预算减少</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人员变动少于预期，医疗经费开支相应下降</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8</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卫生健康支出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行政事业单位医疗</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公务员医疗补助</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129.65</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143.67</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110.81</w:t>
      </w:r>
      <w:r>
        <w:rPr>
          <w:rFonts w:hint="eastAsia" w:ascii="仿宋" w:hAnsi="仿宋" w:eastAsia="仿宋" w:cs="仿宋"/>
          <w:color w:val="000000" w:themeColor="text1"/>
          <w:sz w:val="32"/>
          <w:szCs w:val="32"/>
          <w:shd w:val="clear" w:color="auto" w:fill="auto"/>
          <w14:textFill>
            <w14:solidFill>
              <w14:schemeClr w14:val="tx1"/>
            </w14:solidFill>
          </w14:textFill>
        </w:rPr>
        <w:t>%。决算数大于预算数的主要原因：一是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本年度人员工资基数调整，公务员医疗补助计提基数同步提高，补助经费计提支出相应增加</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年初预算编制时未能预估基数变动因数，超预算部分通过单位内部预算调剂统筹保障</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9</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住房保障支出</w:t>
      </w:r>
      <w:r>
        <w:rPr>
          <w:rFonts w:hint="eastAsia" w:ascii="仿宋" w:hAnsi="仿宋" w:eastAsia="仿宋" w:cs="仿宋"/>
          <w:b/>
          <w:color w:val="000000" w:themeColor="text1"/>
          <w:sz w:val="32"/>
          <w:szCs w:val="32"/>
          <w:shd w:val="clear" w:color="auto" w:fill="auto"/>
          <w14:textFill>
            <w14:solidFill>
              <w14:schemeClr w14:val="tx1"/>
            </w14:solidFill>
          </w14:textFill>
        </w:rPr>
        <w:t>（类）</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住房改革</w:t>
      </w:r>
      <w:r>
        <w:rPr>
          <w:rFonts w:hint="eastAsia" w:ascii="仿宋" w:hAnsi="仿宋" w:eastAsia="仿宋" w:cs="仿宋"/>
          <w:b/>
          <w:color w:val="000000" w:themeColor="text1"/>
          <w:sz w:val="32"/>
          <w:szCs w:val="32"/>
          <w:shd w:val="clear" w:color="auto" w:fill="auto"/>
          <w14:textFill>
            <w14:solidFill>
              <w14:schemeClr w14:val="tx1"/>
            </w14:solidFill>
          </w14:textFill>
        </w:rPr>
        <w:t>（款）</w:t>
      </w:r>
      <w:r>
        <w:rPr>
          <w:rFonts w:hint="eastAsia" w:ascii="仿宋" w:hAnsi="仿宋" w:eastAsia="仿宋" w:cs="仿宋"/>
          <w:b/>
          <w:color w:val="000000" w:themeColor="text1"/>
          <w:sz w:val="32"/>
          <w:szCs w:val="32"/>
          <w:shd w:val="clear" w:color="auto" w:fill="auto"/>
          <w:lang w:eastAsia="zh-CN"/>
          <w14:textFill>
            <w14:solidFill>
              <w14:schemeClr w14:val="tx1"/>
            </w14:solidFill>
          </w14:textFill>
        </w:rPr>
        <w:t>住房公积金</w:t>
      </w:r>
      <w:r>
        <w:rPr>
          <w:rFonts w:hint="eastAsia" w:ascii="仿宋" w:hAnsi="仿宋" w:eastAsia="仿宋" w:cs="仿宋"/>
          <w:b/>
          <w:color w:val="000000" w:themeColor="text1"/>
          <w:sz w:val="32"/>
          <w:szCs w:val="32"/>
          <w:shd w:val="clear" w:color="auto" w:fill="auto"/>
          <w14:textFill>
            <w14:solidFill>
              <w14:schemeClr w14:val="tx1"/>
            </w14:solidFill>
          </w14:textFill>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150.78</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166.76</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110.6</w:t>
      </w:r>
      <w:r>
        <w:rPr>
          <w:rFonts w:hint="eastAsia" w:ascii="仿宋" w:hAnsi="仿宋" w:eastAsia="仿宋" w:cs="仿宋"/>
          <w:color w:val="000000" w:themeColor="text1"/>
          <w:sz w:val="32"/>
          <w:szCs w:val="32"/>
          <w:shd w:val="clear" w:color="auto" w:fill="auto"/>
          <w14:textFill>
            <w14:solidFill>
              <w14:schemeClr w14:val="tx1"/>
            </w14:solidFill>
          </w14:textFill>
        </w:rPr>
        <w:t>%。决算数大于（小于）预算数的主要原因：一是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本年度人员工资基数调整，住房公积金缴存基数同步上调，单位配套缴存金额相应增加</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年初预算编制时未能预估基数变动因数，超预算部分通过单位内部预算调剂统筹保障</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年度财政拨款基本支出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2,343.82</w:t>
      </w:r>
      <w:r>
        <w:rPr>
          <w:rFonts w:hint="eastAsia" w:ascii="仿宋" w:hAnsi="仿宋" w:eastAsia="仿宋" w:cs="仿宋"/>
          <w:color w:val="000000" w:themeColor="text1"/>
          <w:sz w:val="32"/>
          <w:szCs w:val="32"/>
          <w:shd w:val="clear" w:color="auto" w:fill="auto"/>
          <w14:textFill>
            <w14:solidFill>
              <w14:schemeClr w14:val="tx1"/>
            </w14:solidFill>
          </w14:textFill>
        </w:rPr>
        <w:t>万元，其中：人员经费</w:t>
      </w:r>
      <w:r>
        <w:rPr>
          <w:rFonts w:hint="eastAsia" w:ascii="仿宋" w:hAnsi="仿宋" w:eastAsia="仿宋" w:cs="仿宋"/>
          <w:color w:val="000000" w:themeColor="text1"/>
          <w:sz w:val="32"/>
          <w:szCs w:val="32"/>
          <w:shd w:val="clear" w:color="auto" w:fill="auto"/>
          <w:lang w:val="en-US"/>
          <w14:textFill>
            <w14:solidFill>
              <w14:schemeClr w14:val="tx1"/>
            </w14:solidFill>
          </w14:textFill>
        </w:rPr>
        <w:t>2,120.51</w:t>
      </w:r>
      <w:r>
        <w:rPr>
          <w:rFonts w:hint="eastAsia" w:ascii="仿宋" w:hAnsi="仿宋" w:eastAsia="仿宋" w:cs="仿宋"/>
          <w:color w:val="000000" w:themeColor="text1"/>
          <w:sz w:val="32"/>
          <w:szCs w:val="32"/>
          <w:shd w:val="clear" w:color="auto" w:fill="auto"/>
          <w14:textFill>
            <w14:solidFill>
              <w14:schemeClr w14:val="tx1"/>
            </w14:solidFill>
          </w14:textFill>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hint="eastAsia" w:ascii="仿宋" w:hAnsi="仿宋" w:eastAsia="仿宋" w:cs="仿宋"/>
          <w:color w:val="000000" w:themeColor="text1"/>
          <w:sz w:val="32"/>
          <w:szCs w:val="32"/>
          <w:shd w:val="clear" w:color="auto" w:fill="auto"/>
          <w:lang w:val="en-US"/>
          <w14:textFill>
            <w14:solidFill>
              <w14:schemeClr w14:val="tx1"/>
            </w14:solidFill>
          </w14:textFill>
        </w:rPr>
        <w:t>223.31</w:t>
      </w:r>
      <w:r>
        <w:rPr>
          <w:rFonts w:hint="eastAsia" w:ascii="仿宋" w:hAnsi="仿宋" w:eastAsia="仿宋" w:cs="仿宋"/>
          <w:color w:val="000000" w:themeColor="text1"/>
          <w:sz w:val="32"/>
          <w:szCs w:val="32"/>
          <w:shd w:val="clear" w:color="auto" w:fill="auto"/>
          <w14:textFill>
            <w14:solidFill>
              <w14:schemeClr w14:val="tx1"/>
            </w14:solidFill>
          </w14:textFill>
        </w:rPr>
        <w:t>万元，主要包括：</w:t>
      </w:r>
      <w:r>
        <w:rPr>
          <w:rFonts w:hint="eastAsia" w:ascii="仿宋" w:hAnsi="仿宋" w:eastAsia="仿宋" w:cs="仿宋"/>
          <w:color w:val="000000" w:themeColor="text1"/>
          <w:sz w:val="32"/>
          <w:szCs w:val="32"/>
          <w:highlight w:val="none"/>
          <w:shd w:val="clear" w:color="auto" w:fill="auto"/>
          <w14:textFill>
            <w14:solidFill>
              <w14:schemeClr w14:val="tx1"/>
            </w14:solidFill>
          </w14:textFill>
        </w:rPr>
        <w:t>主要包括：商品和服务支出中的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 w:hAnsi="仿宋" w:eastAsia="仿宋" w:cs="仿宋"/>
          <w:color w:val="000000" w:themeColor="text1"/>
          <w:sz w:val="32"/>
          <w:szCs w:val="32"/>
          <w:highlight w:val="none"/>
          <w:shd w:val="clear" w:color="auto" w:fill="auto"/>
          <w:lang w:eastAsia="zh-CN"/>
          <w14:textFill>
            <w14:solidFill>
              <w14:schemeClr w14:val="tx1"/>
            </w14:solidFill>
          </w14:textFill>
        </w:rPr>
        <w:t>购</w:t>
      </w:r>
      <w:r>
        <w:rPr>
          <w:rFonts w:hint="eastAsia" w:ascii="仿宋" w:hAnsi="仿宋" w:eastAsia="仿宋" w:cs="仿宋"/>
          <w:color w:val="000000" w:themeColor="text1"/>
          <w:sz w:val="32"/>
          <w:szCs w:val="32"/>
          <w:highlight w:val="none"/>
          <w:shd w:val="clear" w:color="auto" w:fill="auto"/>
          <w14:textFill>
            <w14:solidFill>
              <w14:schemeClr w14:val="tx1"/>
            </w14:solidFill>
          </w14:textFill>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w:t>
      </w:r>
      <w:r>
        <w:rPr>
          <w:rFonts w:hint="eastAsia" w:ascii="仿宋" w:hAnsi="仿宋" w:eastAsia="仿宋" w:cs="仿宋"/>
          <w:color w:val="000000" w:themeColor="text1"/>
          <w:sz w:val="32"/>
          <w:szCs w:val="32"/>
          <w:highlight w:val="none"/>
          <w:shd w:val="clear" w:color="auto" w:fill="auto"/>
          <w:lang w:eastAsia="zh-CN"/>
          <w14:textFill>
            <w14:solidFill>
              <w14:schemeClr w14:val="tx1"/>
            </w14:solidFill>
          </w14:textFill>
        </w:rPr>
        <w:t>、经常性赠与、资本性赠与</w:t>
      </w:r>
      <w:r>
        <w:rPr>
          <w:rFonts w:hint="eastAsia" w:ascii="仿宋" w:hAnsi="仿宋" w:eastAsia="仿宋" w:cs="仿宋"/>
          <w:color w:val="000000" w:themeColor="text1"/>
          <w:sz w:val="32"/>
          <w:szCs w:val="32"/>
          <w:highlight w:val="none"/>
          <w:shd w:val="clear" w:color="auto" w:fill="auto"/>
          <w14:textFill>
            <w14:solidFill>
              <w14:schemeClr w14:val="tx1"/>
            </w14:solidFill>
          </w14:textFill>
        </w:rPr>
        <w:t>和其他支出。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年度政府性基金预算财政拨款支出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万元，占本年支出合计的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年度相比，政府性基金预算财政拨款支出增加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三亚市公安局海棠分局无政府性基金相关预算收入及支出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年度政府性基金预算财政拨款支出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。无政府性基金相关预算及支出。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（三）政府性基金预算财政拨款支出决算具体情况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年度政府性基金预算财政拨款支出年初预算为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当年度无政府性基金相关预算收入及支出。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年度国有资本经营预算财政拨款支出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万元，占本年支出合计的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年度相比，国有资本经营预算财政拨款支出增加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当年度无国有资金经营相关预算及支出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年度国有资本经营预算财政拨款支出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无国有资本经营相关预算及支出。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年度国有资本经营预算财政拨款支出年初预算为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万元，完成年初预算的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国有资本经营相关预算及支出。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shd w:val="clear" w:color="auto" w:fill="auto"/>
          <w14:textFill>
            <w14:solidFill>
              <w14:schemeClr w14:val="tx1"/>
            </w14:solidFill>
          </w14:textFill>
        </w:rPr>
      </w:pPr>
      <w:r>
        <w:rPr>
          <w:rFonts w:hint="eastAsia" w:ascii="楷体" w:hAnsi="楷体" w:eastAsia="楷体" w:cs="楷体"/>
          <w:bCs/>
          <w:color w:val="000000" w:themeColor="text1"/>
          <w:sz w:val="32"/>
          <w:szCs w:val="32"/>
          <w:shd w:val="clear" w:color="auto" w:fill="auto"/>
          <w14:textFill>
            <w14:solidFill>
              <w14:schemeClr w14:val="tx1"/>
            </w14:solidFill>
          </w14:textFill>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年度财政拨款“三公”经费支出预算为</w:t>
      </w:r>
      <w:r>
        <w:rPr>
          <w:rFonts w:hint="eastAsia" w:ascii="仿宋" w:hAnsi="仿宋" w:eastAsia="仿宋" w:cs="仿宋"/>
          <w:color w:val="000000" w:themeColor="text1"/>
          <w:sz w:val="32"/>
          <w:szCs w:val="32"/>
          <w:shd w:val="clear" w:color="auto" w:fill="auto"/>
          <w:lang w:val="en-US"/>
          <w14:textFill>
            <w14:solidFill>
              <w14:schemeClr w14:val="tx1"/>
            </w14:solidFill>
          </w14:textFill>
        </w:rPr>
        <w:t>17.79</w:t>
      </w:r>
      <w:r>
        <w:rPr>
          <w:rFonts w:hint="eastAsia" w:ascii="仿宋" w:hAnsi="仿宋" w:eastAsia="仿宋" w:cs="仿宋"/>
          <w:color w:val="000000" w:themeColor="text1"/>
          <w:sz w:val="32"/>
          <w:szCs w:val="32"/>
          <w:shd w:val="clear" w:color="auto" w:fill="auto"/>
          <w14:textFill>
            <w14:solidFill>
              <w14:schemeClr w14:val="tx1"/>
            </w14:solidFill>
          </w14:textFill>
        </w:rPr>
        <w:t>万元，支出决算为</w:t>
      </w:r>
      <w:r>
        <w:rPr>
          <w:rFonts w:hint="eastAsia" w:ascii="仿宋" w:hAnsi="仿宋" w:eastAsia="仿宋" w:cs="仿宋"/>
          <w:color w:val="000000" w:themeColor="text1"/>
          <w:sz w:val="32"/>
          <w:szCs w:val="32"/>
          <w:shd w:val="clear" w:color="auto" w:fill="auto"/>
          <w:lang w:val="en-US"/>
          <w14:textFill>
            <w14:solidFill>
              <w14:schemeClr w14:val="tx1"/>
            </w14:solidFill>
          </w14:textFill>
        </w:rPr>
        <w:t>9.73</w:t>
      </w:r>
      <w:r>
        <w:rPr>
          <w:rFonts w:hint="eastAsia" w:ascii="仿宋" w:hAnsi="仿宋" w:eastAsia="仿宋" w:cs="仿宋"/>
          <w:color w:val="000000" w:themeColor="text1"/>
          <w:sz w:val="32"/>
          <w:szCs w:val="32"/>
          <w:shd w:val="clear" w:color="auto" w:fill="auto"/>
          <w14:textFill>
            <w14:solidFill>
              <w14:schemeClr w14:val="tx1"/>
            </w14:solidFill>
          </w14:textFill>
        </w:rPr>
        <w:t>万元，完成预算的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54..69</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年度相比，“三公”经费支出增加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1.88</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23.95</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执勤办案、专项督导、安保勤务等公务外出任务增多，公务用车运行维护费用相应上升</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shd w:val="clear" w:color="auto" w:fill="auto"/>
          <w14:textFill>
            <w14:solidFill>
              <w14:schemeClr w14:val="tx1"/>
            </w14:solidFill>
          </w14:textFill>
        </w:rPr>
      </w:pPr>
      <w:r>
        <w:rPr>
          <w:rFonts w:hint="eastAsia" w:ascii="楷体" w:hAnsi="楷体" w:eastAsia="楷体" w:cs="楷体"/>
          <w:color w:val="000000" w:themeColor="text1"/>
          <w:sz w:val="32"/>
          <w:szCs w:val="32"/>
          <w:shd w:val="clear" w:color="auto" w:fill="auto"/>
          <w14:textFill>
            <w14:solidFill>
              <w14:schemeClr w14:val="tx1"/>
            </w14:solidFill>
          </w14:textFill>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年度财政拨款“三公”经费支出决算中，因公出国（境）费</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用</w:t>
      </w:r>
      <w:r>
        <w:rPr>
          <w:rFonts w:hint="eastAsia" w:ascii="仿宋" w:hAnsi="仿宋" w:eastAsia="仿宋" w:cs="仿宋"/>
          <w:color w:val="000000" w:themeColor="text1"/>
          <w:sz w:val="32"/>
          <w:szCs w:val="32"/>
          <w:shd w:val="clear" w:color="auto" w:fill="auto"/>
          <w14:textFill>
            <w14:solidFill>
              <w14:schemeClr w14:val="tx1"/>
            </w14:solidFill>
          </w14:textFill>
        </w:rPr>
        <w:t>支出决算</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%；公务用车购置及运行维护费支出决算</w:t>
      </w:r>
      <w:r>
        <w:rPr>
          <w:rFonts w:hint="eastAsia" w:ascii="仿宋" w:hAnsi="仿宋" w:eastAsia="仿宋" w:cs="仿宋"/>
          <w:color w:val="000000" w:themeColor="text1"/>
          <w:sz w:val="32"/>
          <w:szCs w:val="32"/>
          <w:shd w:val="clear" w:color="auto" w:fill="auto"/>
          <w:lang w:val="en-US"/>
          <w14:textFill>
            <w14:solidFill>
              <w14:schemeClr w14:val="tx1"/>
            </w14:solidFill>
          </w14:textFill>
        </w:rPr>
        <w:t>9.73</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100</w:t>
      </w:r>
      <w:r>
        <w:rPr>
          <w:rFonts w:hint="eastAsia" w:ascii="仿宋" w:hAnsi="仿宋" w:eastAsia="仿宋" w:cs="仿宋"/>
          <w:color w:val="000000" w:themeColor="text1"/>
          <w:sz w:val="32"/>
          <w:szCs w:val="32"/>
          <w:shd w:val="clear" w:color="auto" w:fill="auto"/>
          <w14:textFill>
            <w14:solidFill>
              <w14:schemeClr w14:val="tx1"/>
            </w14:solidFill>
          </w14:textFill>
        </w:rPr>
        <w:t>%；公务接待费支出决算</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color w:val="000000" w:themeColor="text1"/>
          <w:sz w:val="32"/>
          <w:szCs w:val="32"/>
          <w:shd w:val="clear" w:color="auto" w:fill="auto"/>
          <w14:textFill>
            <w14:solidFill>
              <w14:schemeClr w14:val="tx1"/>
            </w14:solidFill>
          </w14:textFill>
        </w:rPr>
        <w:t>1.因公出国（境）费</w:t>
      </w:r>
      <w:r>
        <w:rPr>
          <w:rFonts w:hint="eastAsia" w:ascii="仿宋" w:hAnsi="仿宋" w:eastAsia="仿宋" w:cs="仿宋"/>
          <w:b/>
          <w:color w:val="000000" w:themeColor="text1"/>
          <w:sz w:val="32"/>
          <w:szCs w:val="32"/>
          <w:shd w:val="clear" w:color="auto" w:fill="auto"/>
          <w:lang w:val="en-US" w:eastAsia="zh-CN"/>
          <w14:textFill>
            <w14:solidFill>
              <w14:schemeClr w14:val="tx1"/>
            </w14:solidFill>
          </w14:textFill>
        </w:rPr>
        <w:t>用</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万元。全年安排因公出国（境）团组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个，因公出国（境）</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人次</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。当年度未安排因公出国（境）费用预算，无支出。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因公出国（境）费</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用</w:t>
      </w:r>
      <w:r>
        <w:rPr>
          <w:rFonts w:hint="eastAsia" w:ascii="仿宋" w:hAnsi="仿宋" w:eastAsia="仿宋" w:cs="仿宋"/>
          <w:color w:val="000000" w:themeColor="text1"/>
          <w:sz w:val="32"/>
          <w:szCs w:val="32"/>
          <w:shd w:val="clear" w:color="auto" w:fill="auto"/>
          <w14:textFill>
            <w14:solidFill>
              <w14:schemeClr w14:val="tx1"/>
            </w14:solidFill>
          </w14:textFill>
        </w:rPr>
        <w:t>支出决算</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数</w:t>
      </w:r>
      <w:r>
        <w:rPr>
          <w:rFonts w:hint="eastAsia" w:ascii="仿宋" w:hAnsi="仿宋" w:eastAsia="仿宋" w:cs="仿宋"/>
          <w:color w:val="000000" w:themeColor="text1"/>
          <w:sz w:val="32"/>
          <w:szCs w:val="32"/>
          <w:shd w:val="clear" w:color="auto" w:fill="auto"/>
          <w14:textFill>
            <w14:solidFill>
              <w14:schemeClr w14:val="tx1"/>
            </w14:solidFill>
          </w14:textFill>
        </w:rPr>
        <w:t>比预算数增加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完成预算的0.00%</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年度相比，因公出国（境）费</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用</w:t>
      </w:r>
      <w:r>
        <w:rPr>
          <w:rFonts w:hint="eastAsia" w:ascii="仿宋" w:hAnsi="仿宋" w:eastAsia="仿宋" w:cs="仿宋"/>
          <w:color w:val="000000" w:themeColor="text1"/>
          <w:sz w:val="32"/>
          <w:szCs w:val="32"/>
          <w:shd w:val="clear" w:color="auto" w:fill="auto"/>
          <w14:textFill>
            <w14:solidFill>
              <w14:schemeClr w14:val="tx1"/>
            </w14:solidFill>
          </w14:textFill>
        </w:rPr>
        <w:t>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当年度未安排相关预算，无支出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color w:val="000000" w:themeColor="text1"/>
          <w:sz w:val="32"/>
          <w:szCs w:val="32"/>
          <w:shd w:val="clear" w:color="auto" w:fill="auto"/>
          <w14:textFill>
            <w14:solidFill>
              <w14:schemeClr w14:val="tx1"/>
            </w14:solidFill>
          </w14:textFill>
        </w:rPr>
        <w:t>2.公务用车购置及运行维护费</w:t>
      </w:r>
      <w:r>
        <w:rPr>
          <w:rFonts w:hint="eastAsia" w:ascii="仿宋" w:hAnsi="仿宋" w:eastAsia="仿宋" w:cs="仿宋"/>
          <w:b w:val="0"/>
          <w:bCs/>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9.73</w:t>
      </w:r>
      <w:r>
        <w:rPr>
          <w:rFonts w:hint="eastAsia" w:ascii="仿宋" w:hAnsi="仿宋" w:eastAsia="仿宋" w:cs="仿宋"/>
          <w:color w:val="000000" w:themeColor="text1"/>
          <w:sz w:val="32"/>
          <w:szCs w:val="32"/>
          <w:shd w:val="clear" w:color="auto" w:fill="auto"/>
          <w14:textFill>
            <w14:solidFill>
              <w14:schemeClr w14:val="tx1"/>
            </w14:solidFill>
          </w14:textFill>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color w:val="000000" w:themeColor="text1"/>
          <w:sz w:val="32"/>
          <w:szCs w:val="32"/>
          <w:shd w:val="clear" w:color="auto" w:fill="auto"/>
          <w14:textFill>
            <w14:solidFill>
              <w14:schemeClr w14:val="tx1"/>
            </w14:solidFill>
          </w14:textFill>
        </w:rPr>
        <w:t>公务用车购置</w:t>
      </w:r>
      <w:r>
        <w:rPr>
          <w:rFonts w:hint="eastAsia" w:ascii="仿宋" w:hAnsi="仿宋" w:eastAsia="仿宋" w:cs="仿宋"/>
          <w:b w:val="0"/>
          <w:bCs/>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万元，全年购置公务用车</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辆，</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当年未购置公务用车</w:t>
      </w:r>
      <w:r>
        <w:rPr>
          <w:rFonts w:hint="eastAsia" w:ascii="仿宋" w:hAnsi="仿宋" w:eastAsia="仿宋" w:cs="仿宋"/>
          <w:color w:val="000000" w:themeColor="text1"/>
          <w:sz w:val="32"/>
          <w:szCs w:val="32"/>
          <w:shd w:val="clear" w:color="auto" w:fill="auto"/>
          <w14:textFill>
            <w14:solidFill>
              <w14:schemeClr w14:val="tx1"/>
            </w14:solidFill>
          </w14:textFill>
        </w:rPr>
        <w:t>，年末公务用车保有量</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color w:val="000000" w:themeColor="text1"/>
          <w:sz w:val="32"/>
          <w:szCs w:val="32"/>
          <w:shd w:val="clear" w:color="auto" w:fill="auto"/>
          <w14:textFill>
            <w14:solidFill>
              <w14:schemeClr w14:val="tx1"/>
            </w14:solidFill>
          </w14:textFill>
        </w:rPr>
        <w:t>公务用车运行维护费</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9.73</w:t>
      </w:r>
      <w:r>
        <w:rPr>
          <w:rFonts w:hint="eastAsia" w:ascii="仿宋" w:hAnsi="仿宋" w:eastAsia="仿宋" w:cs="仿宋"/>
          <w:color w:val="000000" w:themeColor="text1"/>
          <w:sz w:val="32"/>
          <w:szCs w:val="32"/>
          <w:shd w:val="clear" w:color="auto" w:fill="auto"/>
          <w14:textFill>
            <w14:solidFill>
              <w14:schemeClr w14:val="tx1"/>
            </w14:solidFill>
          </w14:textFill>
        </w:rPr>
        <w:t>万元，主要用于</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公务用车保险费、维护及保养费等支出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Cs/>
          <w:color w:val="000000" w:themeColor="text1"/>
          <w:sz w:val="32"/>
          <w:szCs w:val="32"/>
          <w:shd w:val="clear" w:color="auto" w:fill="auto"/>
          <w14:textFill>
            <w14:solidFill>
              <w14:schemeClr w14:val="tx1"/>
            </w14:solidFill>
          </w14:textFill>
        </w:rPr>
      </w:pPr>
      <w:r>
        <w:rPr>
          <w:rFonts w:hint="eastAsia" w:ascii="仿宋" w:hAnsi="仿宋" w:eastAsia="仿宋" w:cs="仿宋"/>
          <w:bCs/>
          <w:color w:val="000000" w:themeColor="text1"/>
          <w:sz w:val="32"/>
          <w:szCs w:val="32"/>
          <w:shd w:val="clear" w:color="auto" w:fill="auto"/>
          <w14:textFill>
            <w14:solidFill>
              <w14:schemeClr w14:val="tx1"/>
            </w14:solidFill>
          </w14:textFill>
        </w:rPr>
        <w:t>公务用车购置及运行维护费支出决算数</w:t>
      </w:r>
      <w:r>
        <w:rPr>
          <w:rFonts w:hint="eastAsia" w:ascii="仿宋" w:hAnsi="仿宋" w:eastAsia="仿宋" w:cs="仿宋"/>
          <w:color w:val="000000" w:themeColor="text1"/>
          <w:sz w:val="32"/>
          <w:szCs w:val="32"/>
          <w:shd w:val="clear" w:color="auto" w:fill="auto"/>
          <w14:textFill>
            <w14:solidFill>
              <w14:schemeClr w14:val="tx1"/>
            </w14:solidFill>
          </w14:textFill>
        </w:rPr>
        <w:t>比预算数减少</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8.06</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完成预算的54.69</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w:t>
      </w:r>
      <w:r>
        <w:rPr>
          <w:rFonts w:hint="eastAsia" w:ascii="仿宋" w:hAnsi="仿宋" w:eastAsia="仿宋" w:cs="仿宋"/>
          <w:bCs/>
          <w:color w:val="000000" w:themeColor="text1"/>
          <w:sz w:val="32"/>
          <w:szCs w:val="32"/>
          <w:shd w:val="clear" w:color="auto" w:fill="auto"/>
          <w14:textFill>
            <w14:solidFill>
              <w14:schemeClr w14:val="tx1"/>
            </w14:solidFill>
          </w14:textFill>
        </w:rPr>
        <w:t>公务用车购置及运行维护费</w:t>
      </w:r>
      <w:r>
        <w:rPr>
          <w:rFonts w:hint="eastAsia" w:ascii="仿宋" w:hAnsi="仿宋" w:eastAsia="仿宋" w:cs="仿宋"/>
          <w:color w:val="000000" w:themeColor="text1"/>
          <w:sz w:val="32"/>
          <w:szCs w:val="32"/>
          <w:shd w:val="clear" w:color="auto" w:fill="auto"/>
          <w14:textFill>
            <w14:solidFill>
              <w14:schemeClr w14:val="tx1"/>
            </w14:solidFill>
          </w14:textFill>
        </w:rPr>
        <w:t>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1.88</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23.95</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执勤办案、专项督导、安保勤务等公务外出任务增多，公务用车运行维护费用相应上升</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color w:val="000000" w:themeColor="text1"/>
          <w:sz w:val="32"/>
          <w:szCs w:val="32"/>
          <w:shd w:val="clear" w:color="auto" w:fill="auto"/>
          <w14:textFill>
            <w14:solidFill>
              <w14:schemeClr w14:val="tx1"/>
            </w14:solidFill>
          </w14:textFill>
        </w:rPr>
        <w:t>3.公务接待费</w:t>
      </w:r>
      <w:r>
        <w:rPr>
          <w:rFonts w:hint="eastAsia" w:ascii="仿宋" w:hAnsi="仿宋" w:eastAsia="仿宋" w:cs="仿宋"/>
          <w:b w:val="0"/>
          <w:bCs/>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color w:val="000000" w:themeColor="text1"/>
          <w:sz w:val="32"/>
          <w:szCs w:val="32"/>
          <w:shd w:val="clear" w:color="auto" w:fill="auto"/>
          <w14:textFill>
            <w14:solidFill>
              <w14:schemeClr w14:val="tx1"/>
            </w14:solidFill>
          </w14:textFill>
        </w:rPr>
        <w:t>国内接待费</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万元，国内公务接待</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批次，接待</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人次；</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当年度未安排国内接待费相关预算，无支出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b/>
          <w:bCs/>
          <w:color w:val="000000" w:themeColor="text1"/>
          <w:sz w:val="32"/>
          <w:szCs w:val="32"/>
          <w:shd w:val="clear" w:color="auto" w:fill="auto"/>
          <w14:textFill>
            <w14:solidFill>
              <w14:schemeClr w14:val="tx1"/>
            </w14:solidFill>
          </w14:textFill>
        </w:rPr>
        <w:t>国（境）外接待费</w:t>
      </w:r>
      <w:r>
        <w:rPr>
          <w:rFonts w:hint="eastAsia" w:ascii="仿宋" w:hAnsi="仿宋" w:eastAsia="仿宋" w:cs="仿宋"/>
          <w:color w:val="000000" w:themeColor="text1"/>
          <w:sz w:val="32"/>
          <w:szCs w:val="32"/>
          <w:shd w:val="clear" w:color="auto" w:fill="auto"/>
          <w14:textFill>
            <w14:solidFill>
              <w14:schemeClr w14:val="tx1"/>
            </w14:solidFill>
          </w14:textFill>
        </w:rPr>
        <w:t>支出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万元，国（境）外公务接待</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批次，接待</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w:t>
      </w:r>
      <w:r>
        <w:rPr>
          <w:rFonts w:hint="eastAsia" w:ascii="仿宋" w:hAnsi="仿宋" w:eastAsia="仿宋" w:cs="仿宋"/>
          <w:color w:val="000000" w:themeColor="text1"/>
          <w:sz w:val="32"/>
          <w:szCs w:val="32"/>
          <w:shd w:val="clear" w:color="auto" w:fill="auto"/>
          <w14:textFill>
            <w14:solidFill>
              <w14:schemeClr w14:val="tx1"/>
            </w14:solidFill>
          </w14:textFill>
        </w:rPr>
        <w:t>人次；</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当年度未安排国（境）外接待费相关预算，无支出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公务接待费支出决算数比预算数增加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完成预算的0.00</w:t>
      </w:r>
      <w:r>
        <w:rPr>
          <w:rFonts w:hint="eastAsia" w:ascii="仿宋" w:hAnsi="仿宋" w:eastAsia="仿宋" w:cs="仿宋"/>
          <w:color w:val="000000" w:themeColor="text1"/>
          <w:sz w:val="32"/>
          <w:szCs w:val="32"/>
          <w:shd w:val="clear" w:color="auto" w:fill="auto"/>
          <w14:textFill>
            <w14:solidFill>
              <w14:schemeClr w14:val="tx1"/>
            </w14:solidFill>
          </w14:textFill>
        </w:rPr>
        <w:t>%。与</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2024</w:t>
      </w:r>
      <w:r>
        <w:rPr>
          <w:rFonts w:hint="eastAsia" w:ascii="仿宋" w:hAnsi="仿宋" w:eastAsia="仿宋" w:cs="仿宋"/>
          <w:color w:val="000000" w:themeColor="text1"/>
          <w:sz w:val="32"/>
          <w:szCs w:val="32"/>
          <w:shd w:val="clear" w:color="auto" w:fill="auto"/>
          <w14:textFill>
            <w14:solidFill>
              <w14:schemeClr w14:val="tx1"/>
            </w14:solidFill>
          </w14:textFill>
        </w:rPr>
        <w:t>年度相比，</w:t>
      </w:r>
      <w:r>
        <w:rPr>
          <w:rFonts w:hint="eastAsia" w:ascii="仿宋" w:hAnsi="仿宋" w:eastAsia="仿宋" w:cs="仿宋"/>
          <w:bCs/>
          <w:color w:val="000000" w:themeColor="text1"/>
          <w:sz w:val="32"/>
          <w:szCs w:val="32"/>
          <w:shd w:val="clear" w:color="auto" w:fill="auto"/>
          <w14:textFill>
            <w14:solidFill>
              <w14:schemeClr w14:val="tx1"/>
            </w14:solidFill>
          </w14:textFill>
        </w:rPr>
        <w:t>公务接待费</w:t>
      </w:r>
      <w:r>
        <w:rPr>
          <w:rFonts w:hint="eastAsia" w:ascii="仿宋" w:hAnsi="仿宋" w:eastAsia="仿宋" w:cs="仿宋"/>
          <w:color w:val="000000" w:themeColor="text1"/>
          <w:sz w:val="32"/>
          <w:szCs w:val="32"/>
          <w:shd w:val="clear" w:color="auto" w:fill="auto"/>
          <w14:textFill>
            <w14:solidFill>
              <w14:schemeClr w14:val="tx1"/>
            </w14:solidFill>
          </w14:textFill>
        </w:rPr>
        <w:t>支出增加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万元，增长</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0.00</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当年度未安排公务接待费相关预算，无支出</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shd w:val="clear" w:color="auto" w:fill="auto"/>
          <w14:textFill>
            <w14:solidFill>
              <w14:schemeClr w14:val="tx1"/>
            </w14:solidFill>
          </w14:textFill>
        </w:rPr>
      </w:pPr>
      <w:r>
        <w:rPr>
          <w:rFonts w:hint="eastAsia" w:ascii="楷体" w:hAnsi="楷体" w:eastAsia="楷体" w:cs="楷体"/>
          <w:bCs/>
          <w:color w:val="000000" w:themeColor="text1"/>
          <w:sz w:val="32"/>
          <w:szCs w:val="32"/>
          <w:shd w:val="clear" w:color="auto" w:fill="auto"/>
          <w14:textFill>
            <w14:solidFill>
              <w14:schemeClr w14:val="tx1"/>
            </w14:solidFill>
          </w14:textFill>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根据财政预算绩效管理要求，可按照如下格式说明：根据预算管理要求，我部门（单位）组织对</w:t>
      </w: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年度一般公共预算项目支出全面开展绩效自评</w:t>
      </w:r>
      <w:r>
        <w:rPr>
          <w:rFonts w:hint="eastAsia" w:ascii="仿宋" w:hAnsi="仿宋" w:eastAsia="仿宋" w:cs="仿宋"/>
          <w:color w:val="000000" w:themeColor="text1"/>
          <w:sz w:val="32"/>
          <w:szCs w:val="32"/>
          <w:shd w:val="clear" w:color="auto" w:fill="auto"/>
          <w:lang w:val="en-US"/>
          <w14:textFill>
            <w14:solidFill>
              <w14:schemeClr w14:val="tx1"/>
            </w14:solidFill>
          </w14:textFill>
        </w:rPr>
        <w:t>,</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共涉及资金3950.33万元，占一般公共预算项目支出总额的100%</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bidi="ar"/>
          <w14:textFill>
            <w14:solidFill>
              <w14:schemeClr w14:val="tx1"/>
            </w14:solidFill>
          </w14:textFill>
        </w:rPr>
        <w:t>组织对</w:t>
      </w:r>
      <w:r>
        <w:rPr>
          <w:rFonts w:hint="eastAsia" w:ascii="仿宋" w:hAnsi="仿宋" w:eastAsia="仿宋" w:cs="仿宋"/>
          <w:color w:val="000000" w:themeColor="text1"/>
          <w:sz w:val="32"/>
          <w:szCs w:val="32"/>
          <w:shd w:val="clear" w:color="auto" w:fill="auto"/>
          <w:lang w:val="en-US" w:bidi="ar"/>
          <w14:textFill>
            <w14:solidFill>
              <w14:schemeClr w14:val="tx1"/>
            </w14:solidFill>
          </w14:textFill>
        </w:rPr>
        <w:t>2025</w:t>
      </w:r>
      <w:r>
        <w:rPr>
          <w:rFonts w:hint="eastAsia" w:ascii="仿宋" w:hAnsi="仿宋" w:eastAsia="仿宋" w:cs="仿宋"/>
          <w:color w:val="000000" w:themeColor="text1"/>
          <w:sz w:val="32"/>
          <w:szCs w:val="32"/>
          <w:shd w:val="clear" w:color="auto" w:fill="auto"/>
          <w:lang w:bidi="ar"/>
          <w14:textFill>
            <w14:solidFill>
              <w14:schemeClr w14:val="tx1"/>
            </w14:solidFill>
          </w14:textFill>
        </w:rPr>
        <w:t>年度</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个政府性基金预算项目开展绩效自评，共涉及资金</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万元，占政府性基金预算项目支出总额的</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%。组织对</w:t>
      </w:r>
      <w:r>
        <w:rPr>
          <w:rFonts w:hint="eastAsia" w:ascii="仿宋" w:hAnsi="仿宋" w:eastAsia="仿宋" w:cs="仿宋"/>
          <w:color w:val="000000" w:themeColor="text1"/>
          <w:sz w:val="32"/>
          <w:szCs w:val="32"/>
          <w:shd w:val="clear" w:color="auto" w:fill="auto"/>
          <w:lang w:val="en-US" w:bidi="ar"/>
          <w14:textFill>
            <w14:solidFill>
              <w14:schemeClr w14:val="tx1"/>
            </w14:solidFill>
          </w14:textFill>
        </w:rPr>
        <w:t>2025</w:t>
      </w:r>
      <w:r>
        <w:rPr>
          <w:rFonts w:hint="eastAsia" w:ascii="仿宋" w:hAnsi="仿宋" w:eastAsia="仿宋" w:cs="仿宋"/>
          <w:color w:val="000000" w:themeColor="text1"/>
          <w:sz w:val="32"/>
          <w:szCs w:val="32"/>
          <w:shd w:val="clear" w:color="auto" w:fill="auto"/>
          <w:lang w:bidi="ar"/>
          <w14:textFill>
            <w14:solidFill>
              <w14:schemeClr w14:val="tx1"/>
            </w14:solidFill>
          </w14:textFill>
        </w:rPr>
        <w:t>年度</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 xml:space="preserve">个国有资本经营预算项目开展绩效自评，共涉及资金 </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万元，占国有资本经营预算项目支出总额的</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14:textFill>
            <w14:solidFill>
              <w14:schemeClr w14:val="tx1"/>
            </w14:solidFill>
          </w14:textFill>
        </w:rPr>
        <w:t>共组织对“</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证件管理</w:t>
      </w:r>
      <w:r>
        <w:rPr>
          <w:rFonts w:hint="eastAsia" w:ascii="仿宋" w:hAnsi="仿宋" w:eastAsia="仿宋" w:cs="仿宋"/>
          <w:color w:val="000000" w:themeColor="text1"/>
          <w:sz w:val="32"/>
          <w:szCs w:val="32"/>
          <w:shd w:val="clear" w:color="auto" w:fill="auto"/>
          <w14:textFill>
            <w14:solidFill>
              <w14:schemeClr w14:val="tx1"/>
            </w14:solidFill>
          </w14:textFill>
        </w:rPr>
        <w:t>”等</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5</w:t>
      </w:r>
      <w:r>
        <w:rPr>
          <w:rFonts w:hint="eastAsia" w:ascii="仿宋" w:hAnsi="仿宋" w:eastAsia="仿宋" w:cs="仿宋"/>
          <w:color w:val="000000" w:themeColor="text1"/>
          <w:sz w:val="32"/>
          <w:szCs w:val="32"/>
          <w:shd w:val="clear" w:color="auto" w:fill="auto"/>
          <w14:textFill>
            <w14:solidFill>
              <w14:schemeClr w14:val="tx1"/>
            </w14:solidFill>
          </w14:textFill>
        </w:rPr>
        <w:t>个项目开展了部门评价，</w:t>
      </w:r>
      <w:r>
        <w:rPr>
          <w:rFonts w:hint="eastAsia" w:ascii="仿宋" w:hAnsi="仿宋" w:eastAsia="仿宋" w:cs="仿宋"/>
          <w:color w:val="000000" w:themeColor="text1"/>
          <w:sz w:val="32"/>
          <w:szCs w:val="32"/>
          <w:shd w:val="clear" w:color="auto" w:fill="auto"/>
          <w:lang w:bidi="ar"/>
          <w14:textFill>
            <w14:solidFill>
              <w14:schemeClr w14:val="tx1"/>
            </w14:solidFill>
          </w14:textFill>
        </w:rPr>
        <w:t>涉及一般公共预算支出</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3950.33</w:t>
      </w:r>
      <w:r>
        <w:rPr>
          <w:rFonts w:hint="eastAsia" w:ascii="仿宋" w:hAnsi="仿宋" w:eastAsia="仿宋" w:cs="仿宋"/>
          <w:color w:val="000000" w:themeColor="text1"/>
          <w:sz w:val="32"/>
          <w:szCs w:val="32"/>
          <w:shd w:val="clear" w:color="auto" w:fill="auto"/>
          <w:lang w:bidi="ar"/>
          <w14:textFill>
            <w14:solidFill>
              <w14:schemeClr w14:val="tx1"/>
            </w14:solidFill>
          </w14:textFill>
        </w:rPr>
        <w:t>万元，政府性基金预算支出</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万元，国有资本经营预算支出</w:t>
      </w:r>
      <w:r>
        <w:rPr>
          <w:rFonts w:hint="eastAsia" w:ascii="仿宋" w:hAnsi="仿宋" w:eastAsia="仿宋" w:cs="仿宋"/>
          <w:color w:val="000000" w:themeColor="text1"/>
          <w:sz w:val="32"/>
          <w:szCs w:val="32"/>
          <w:shd w:val="clear" w:color="auto" w:fill="auto"/>
          <w:lang w:val="en-US" w:eastAsia="zh-CN" w:bidi="ar"/>
          <w14:textFill>
            <w14:solidFill>
              <w14:schemeClr w14:val="tx1"/>
            </w14:solidFill>
          </w14:textFill>
        </w:rPr>
        <w:t>0</w:t>
      </w:r>
      <w:r>
        <w:rPr>
          <w:rFonts w:hint="eastAsia" w:ascii="仿宋" w:hAnsi="仿宋" w:eastAsia="仿宋" w:cs="仿宋"/>
          <w:color w:val="000000" w:themeColor="text1"/>
          <w:sz w:val="32"/>
          <w:szCs w:val="32"/>
          <w:shd w:val="clear" w:color="auto" w:fill="auto"/>
          <w:lang w:bidi="ar"/>
          <w14:textFill>
            <w14:solidFill>
              <w14:schemeClr w14:val="tx1"/>
            </w14:solidFill>
          </w14:textFill>
        </w:rPr>
        <w:t>万元。</w:t>
      </w:r>
      <w:r>
        <w:rPr>
          <w:rFonts w:hint="eastAsia" w:ascii="仿宋" w:hAnsi="仿宋" w:eastAsia="仿宋" w:cs="仿宋"/>
          <w:color w:val="000000" w:themeColor="text1"/>
          <w:sz w:val="32"/>
          <w:szCs w:val="32"/>
          <w:shd w:val="clear" w:color="auto" w:fill="auto"/>
          <w14:textFill>
            <w14:solidFill>
              <w14:schemeClr w14:val="tx1"/>
            </w14:solidFill>
          </w14:textFill>
        </w:rPr>
        <w:t>从评价情况来看，</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三亚市公安局海棠分局所有项目整体运行情况良好，基本保障全局全年工作正常运转，保障了本部门正确履职。</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shd w:val="clear" w:color="auto" w:fill="auto"/>
          <w14:textFill>
            <w14:solidFill>
              <w14:schemeClr w14:val="tx1"/>
            </w14:solidFill>
          </w14:textFill>
        </w:rPr>
      </w:pPr>
      <w:r>
        <w:rPr>
          <w:rFonts w:hint="eastAsia" w:ascii="楷体" w:hAnsi="楷体" w:eastAsia="楷体" w:cs="楷体"/>
          <w:bCs/>
          <w:color w:val="000000" w:themeColor="text1"/>
          <w:sz w:val="32"/>
          <w:szCs w:val="32"/>
          <w:shd w:val="clear" w:color="auto" w:fill="auto"/>
          <w14:textFill>
            <w14:solidFill>
              <w14:schemeClr w14:val="tx1"/>
            </w14:solidFill>
          </w14:textFill>
        </w:rPr>
        <w:t>部门决算中项目绩效自评结果</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lang w:val="en-US" w:eastAsia="zh-CN"/>
        </w:rPr>
      </w:pPr>
      <w:r>
        <w:rPr>
          <w:rFonts w:hint="eastAsia" w:ascii="仿宋" w:hAnsi="仿宋" w:eastAsia="仿宋" w:cs="仿宋"/>
          <w:color w:val="000000" w:themeColor="text1"/>
          <w:sz w:val="32"/>
          <w:szCs w:val="32"/>
          <w:shd w:val="clear" w:color="auto" w:fill="auto"/>
          <w14:textFill>
            <w14:solidFill>
              <w14:schemeClr w14:val="tx1"/>
            </w14:solidFill>
          </w14:textFill>
        </w:rPr>
        <w:t>我单位在</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单位</w:t>
      </w:r>
      <w:r>
        <w:rPr>
          <w:rFonts w:hint="eastAsia" w:ascii="仿宋" w:hAnsi="仿宋" w:eastAsia="仿宋" w:cs="仿宋"/>
          <w:color w:val="000000" w:themeColor="text1"/>
          <w:sz w:val="32"/>
          <w:szCs w:val="32"/>
          <w:shd w:val="clear" w:color="auto" w:fill="auto"/>
          <w14:textFill>
            <w14:solidFill>
              <w14:schemeClr w14:val="tx1"/>
            </w14:solidFill>
          </w14:textFill>
        </w:rPr>
        <w:t>决算中反映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证件管理</w:t>
      </w:r>
      <w:r>
        <w:rPr>
          <w:rFonts w:hint="eastAsia" w:ascii="仿宋" w:hAnsi="仿宋" w:eastAsia="仿宋" w:cs="仿宋"/>
          <w:color w:val="000000" w:themeColor="text1"/>
          <w:sz w:val="32"/>
          <w:szCs w:val="32"/>
          <w:shd w:val="clear" w:color="auto" w:fill="auto"/>
          <w14:textFill>
            <w14:solidFill>
              <w14:schemeClr w14:val="tx1"/>
            </w14:solidFill>
          </w14:textFill>
        </w:rPr>
        <w:t>等</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w:t>
      </w:r>
      <w:r>
        <w:rPr>
          <w:rFonts w:hint="eastAsia" w:ascii="仿宋" w:hAnsi="仿宋" w:eastAsia="仿宋" w:cs="仿宋"/>
          <w:color w:val="000000" w:themeColor="text1"/>
          <w:sz w:val="32"/>
          <w:szCs w:val="32"/>
          <w:shd w:val="clear" w:color="auto" w:fill="auto"/>
          <w14:textFill>
            <w14:solidFill>
              <w14:schemeClr w14:val="tx1"/>
            </w14:solidFill>
          </w14:textFill>
        </w:rPr>
        <w:t>个项目绩效自评结果</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证件管理项目绩效自评表：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drawing>
          <wp:inline distT="0" distB="0" distL="114300" distR="114300">
            <wp:extent cx="5609590" cy="2748280"/>
            <wp:effectExtent l="0" t="0" r="10160" b="13970"/>
            <wp:docPr id="2" name="图片 2" descr="证件管理"/>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证件管理"/>
                    <pic:cNvPicPr>
                      <a:picLocks noChangeAspect="true"/>
                    </pic:cNvPicPr>
                  </pic:nvPicPr>
                  <pic:blipFill>
                    <a:blip r:embed="rId6"/>
                    <a:stretch>
                      <a:fillRect/>
                    </a:stretch>
                  </pic:blipFill>
                  <pic:spPr>
                    <a:xfrm>
                      <a:off x="0" y="0"/>
                      <a:ext cx="5609590" cy="27482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证件管理</w:t>
      </w:r>
      <w:r>
        <w:rPr>
          <w:rFonts w:hint="eastAsia" w:ascii="仿宋" w:hAnsi="仿宋" w:eastAsia="仿宋" w:cs="仿宋"/>
          <w:color w:val="000000" w:themeColor="text1"/>
          <w:sz w:val="32"/>
          <w:szCs w:val="32"/>
          <w:shd w:val="clear" w:color="auto" w:fill="auto"/>
          <w14:textFill>
            <w14:solidFill>
              <w14:schemeClr w14:val="tx1"/>
            </w14:solidFill>
          </w14:textFill>
        </w:rPr>
        <w:t>项目绩效自评报告：根据年初设定的绩效目标，项目绩效自评得分为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99.35</w:t>
      </w:r>
      <w:r>
        <w:rPr>
          <w:rFonts w:hint="eastAsia" w:ascii="仿宋" w:hAnsi="仿宋" w:eastAsia="仿宋" w:cs="仿宋"/>
          <w:color w:val="000000" w:themeColor="text1"/>
          <w:sz w:val="32"/>
          <w:szCs w:val="32"/>
          <w:shd w:val="clear" w:color="auto" w:fill="auto"/>
          <w14:textFill>
            <w14:solidFill>
              <w14:schemeClr w14:val="tx1"/>
            </w14:solidFill>
          </w14:textFill>
        </w:rPr>
        <w:t>分。全年预算数为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7.53</w:t>
      </w:r>
      <w:r>
        <w:rPr>
          <w:rFonts w:hint="eastAsia" w:ascii="仿宋" w:hAnsi="仿宋" w:eastAsia="仿宋" w:cs="仿宋"/>
          <w:color w:val="000000" w:themeColor="text1"/>
          <w:sz w:val="32"/>
          <w:szCs w:val="32"/>
          <w:shd w:val="clear" w:color="auto" w:fill="auto"/>
          <w14:textFill>
            <w14:solidFill>
              <w14:schemeClr w14:val="tx1"/>
            </w14:solidFill>
          </w14:textFill>
        </w:rPr>
        <w:t>万元，执行数为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7.04</w:t>
      </w:r>
      <w:r>
        <w:rPr>
          <w:rFonts w:hint="eastAsia" w:ascii="仿宋" w:hAnsi="仿宋" w:eastAsia="仿宋" w:cs="仿宋"/>
          <w:color w:val="000000" w:themeColor="text1"/>
          <w:sz w:val="32"/>
          <w:szCs w:val="32"/>
          <w:shd w:val="clear" w:color="auto" w:fill="auto"/>
          <w14:textFill>
            <w14:solidFill>
              <w14:schemeClr w14:val="tx1"/>
            </w14:solidFill>
          </w14:textFill>
        </w:rPr>
        <w:t>万元，完成预算的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93.5</w:t>
      </w:r>
      <w:r>
        <w:rPr>
          <w:rFonts w:hint="eastAsia" w:ascii="仿宋" w:hAnsi="仿宋" w:eastAsia="仿宋" w:cs="仿宋"/>
          <w:color w:val="000000" w:themeColor="text1"/>
          <w:sz w:val="32"/>
          <w:szCs w:val="32"/>
          <w:shd w:val="clear" w:color="auto" w:fill="auto"/>
          <w14:textFill>
            <w14:solidFill>
              <w14:schemeClr w14:val="tx1"/>
            </w14:solidFill>
          </w14:textFill>
        </w:rPr>
        <w:t>%。项目绩效目标完成情况：一是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证件管理项目执行率</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93.5%，绩效目标基本完成</w:t>
      </w:r>
      <w:r>
        <w:rPr>
          <w:rFonts w:hint="eastAsia" w:ascii="仿宋" w:hAnsi="仿宋" w:eastAsia="仿宋" w:cs="仿宋"/>
          <w:color w:val="000000" w:themeColor="text1"/>
          <w:sz w:val="32"/>
          <w:szCs w:val="32"/>
          <w:shd w:val="clear" w:color="auto" w:fill="auto"/>
          <w14:textFill>
            <w14:solidFill>
              <w14:schemeClr w14:val="tx1"/>
            </w14:solidFill>
          </w14:textFill>
        </w:rPr>
        <w:t>；二是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证件合格率、制证相符率、制证及时率情况均于达到</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100%</w:t>
      </w:r>
      <w:r>
        <w:rPr>
          <w:rFonts w:hint="eastAsia" w:ascii="仿宋" w:hAnsi="仿宋" w:eastAsia="仿宋" w:cs="仿宋"/>
          <w:color w:val="000000" w:themeColor="text1"/>
          <w:sz w:val="32"/>
          <w:szCs w:val="32"/>
          <w:shd w:val="clear" w:color="auto" w:fill="auto"/>
          <w14:textFill>
            <w14:solidFill>
              <w14:schemeClr w14:val="tx1"/>
            </w14:solidFill>
          </w14:textFill>
        </w:rPr>
        <w:t>。发现的主要问题及原因：一是</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本年度证件新办、换发、补办实际业务量较年初预算测算略有减少，证件耗材、制证相关支出相应节约</w:t>
      </w:r>
      <w:r>
        <w:rPr>
          <w:rFonts w:hint="eastAsia" w:ascii="仿宋" w:hAnsi="仿宋" w:eastAsia="仿宋" w:cs="仿宋"/>
          <w:color w:val="000000" w:themeColor="text1"/>
          <w:sz w:val="32"/>
          <w:szCs w:val="32"/>
          <w:shd w:val="clear" w:color="auto" w:fill="auto"/>
          <w14:textFill>
            <w14:solidFill>
              <w14:schemeClr w14:val="tx1"/>
            </w14:solidFill>
          </w14:textFill>
        </w:rPr>
        <w:t>。下一步改进措施：</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进一步优化办证办事等部门效率，进一步提高群众满意度</w:t>
      </w:r>
      <w:r>
        <w:rPr>
          <w:rFonts w:hint="eastAsia" w:ascii="仿宋" w:hAnsi="仿宋" w:eastAsia="仿宋" w:cs="仿宋"/>
          <w:color w:val="000000" w:themeColor="text1"/>
          <w:sz w:val="32"/>
          <w:szCs w:val="32"/>
          <w:shd w:val="clear" w:color="auto" w:fill="auto"/>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shd w:val="clear" w:color="auto" w:fill="auto"/>
          <w14:textFill>
            <w14:solidFill>
              <w14:schemeClr w14:val="tx1"/>
            </w14:solidFill>
          </w14:textFill>
        </w:rPr>
      </w:pPr>
      <w:r>
        <w:rPr>
          <w:rFonts w:hint="eastAsia" w:ascii="楷体" w:hAnsi="楷体" w:eastAsia="楷体" w:cs="楷体"/>
          <w:bCs/>
          <w:color w:val="000000" w:themeColor="text1"/>
          <w:sz w:val="32"/>
          <w:szCs w:val="32"/>
          <w:shd w:val="clear" w:color="auto" w:fill="auto"/>
          <w14:textFill>
            <w14:solidFill>
              <w14:schemeClr w14:val="tx1"/>
            </w14:solidFill>
          </w14:textFill>
        </w:rPr>
        <w:t>部门评价结果</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 w:hAnsi="仿宋" w:eastAsia="仿宋" w:cs="仿宋"/>
          <w:color w:val="000000" w:themeColor="text1"/>
          <w:sz w:val="32"/>
          <w:szCs w:val="32"/>
          <w:highlight w:val="yellow"/>
          <w:shd w:val="clear" w:color="auto" w:fill="auto"/>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auto"/>
          <w:lang w:val="en-US" w:eastAsia="zh-CN" w:bidi="ar"/>
          <w14:textFill>
            <w14:solidFill>
              <w14:schemeClr w14:val="tx1"/>
            </w14:solidFill>
          </w14:textFill>
        </w:rPr>
        <w:t xml:space="preserve">    对执法办案等项目，在2025年度资金到位及项目完成时效情况总体良好，提高资金了资金的使用效率，基本完成年度绩效目标。</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shd w:val="clear" w:color="auto" w:fill="auto"/>
          <w14:textFill>
            <w14:solidFill>
              <w14:schemeClr w14:val="tx1"/>
            </w14:solidFill>
          </w14:textFill>
        </w:rPr>
      </w:pPr>
      <w:r>
        <w:rPr>
          <w:rFonts w:hint="eastAsia" w:ascii="楷体" w:hAnsi="楷体" w:eastAsia="楷体" w:cs="楷体"/>
          <w:bCs/>
          <w:color w:val="000000" w:themeColor="text1"/>
          <w:sz w:val="32"/>
          <w:szCs w:val="32"/>
          <w:shd w:val="clear" w:color="auto" w:fill="auto"/>
          <w14:textFill>
            <w14:solidFill>
              <w14:schemeClr w14:val="tx1"/>
            </w14:solidFill>
          </w14:textFill>
        </w:rPr>
        <w:t>（四）财政评价结果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lang w:val="zh-CN"/>
          <w14:textFill>
            <w14:solidFill>
              <w14:schemeClr w14:val="tx1"/>
            </w14:solidFill>
          </w14:textFill>
        </w:rPr>
      </w:pPr>
      <w:r>
        <w:rPr>
          <w:rFonts w:hint="eastAsia" w:ascii="仿宋" w:hAnsi="仿宋" w:eastAsia="仿宋" w:cs="仿宋"/>
          <w:color w:val="000000" w:themeColor="text1"/>
          <w:sz w:val="32"/>
          <w:szCs w:val="32"/>
          <w:shd w:val="clear" w:color="auto" w:fill="auto"/>
          <w:lang w:val="zh-CN"/>
          <w14:textFill>
            <w14:solidFill>
              <w14:schemeClr w14:val="tx1"/>
            </w14:solidFill>
          </w14:textFill>
        </w:rPr>
        <w:t>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lang w:val="zh-CN"/>
          <w14:textFill>
            <w14:solidFill>
              <w14:schemeClr w14:val="tx1"/>
            </w14:solidFill>
          </w14:textFill>
        </w:rPr>
      </w:pPr>
      <w:r>
        <w:rPr>
          <w:rFonts w:hint="eastAsia" w:ascii="黑体" w:hAnsi="黑体" w:eastAsia="黑体" w:cs="黑体"/>
          <w:bCs/>
          <w:color w:val="000000" w:themeColor="text1"/>
          <w:sz w:val="32"/>
          <w:szCs w:val="32"/>
          <w:shd w:val="clear" w:color="auto" w:fill="auto"/>
          <w:lang w:val="zh-CN"/>
          <w14:textFill>
            <w14:solidFill>
              <w14:schemeClr w14:val="tx1"/>
            </w14:solidFill>
          </w14:textFill>
        </w:rPr>
        <w:t>十一、落实习惯过紧日子要求、保障重点支出情况说明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lang w:val="zh-CN"/>
          <w14:textFill>
            <w14:solidFill>
              <w14:schemeClr w14:val="tx1"/>
            </w14:solidFill>
          </w14:textFill>
        </w:rPr>
      </w:pPr>
      <w:r>
        <w:rPr>
          <w:rFonts w:hint="eastAsia" w:ascii="仿宋" w:hAnsi="仿宋" w:eastAsia="仿宋" w:cs="仿宋"/>
          <w:color w:val="000000" w:themeColor="text1"/>
          <w:sz w:val="32"/>
          <w:szCs w:val="32"/>
          <w:shd w:val="clear" w:color="auto" w:fill="auto"/>
          <w:lang w:val="zh-CN"/>
          <w14:textFill>
            <w14:solidFill>
              <w14:schemeClr w14:val="tx1"/>
            </w14:solidFill>
          </w14:textFill>
        </w:rPr>
        <w:t>进一步细化关于部门决算收支情况公开信息说明内容，部门应当在财政拨款收支情况说明中全面反映贯彻落实习惯过紧日子要求，2025年主要任务和重点支出等情况。一是在一般公共预算和政府性基金预算支出情况说明中增加贯彻落实习惯过紧日子要求、合理保障重点支出情况说明。参考格式：按照党中央、国务院关于党政机关习惯过紧日子的有关要求，厉行节约办一切事业，严控一般性支出。同时坚持有保有压，优化支出结构，提高资金使用效率，合理保障重大安保、执勤办案、人员经费等重点支出，体现在有关支出科目中。二是结合部门职责和决算情况等，对2025年主要任务和支出政策进行说明。参考格式：按照支出功能分类，</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204-公共安全支出</w:t>
      </w:r>
      <w:r>
        <w:rPr>
          <w:rFonts w:hint="eastAsia" w:ascii="仿宋" w:hAnsi="仿宋" w:eastAsia="仿宋" w:cs="仿宋"/>
          <w:color w:val="000000" w:themeColor="text1"/>
          <w:sz w:val="32"/>
          <w:szCs w:val="32"/>
          <w:shd w:val="clear" w:color="auto" w:fill="auto"/>
          <w:lang w:val="zh-CN"/>
          <w14:textFill>
            <w14:solidFill>
              <w14:schemeClr w14:val="tx1"/>
            </w14:solidFill>
          </w14:textFill>
        </w:rPr>
        <w:t>方面的支出规模较大（或占财政拨款支出总额的比重较高），主要是：</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2040201-行政运行</w:t>
      </w:r>
      <w:r>
        <w:rPr>
          <w:rFonts w:hint="eastAsia" w:ascii="仿宋" w:hAnsi="仿宋" w:eastAsia="仿宋" w:cs="仿宋"/>
          <w:color w:val="000000" w:themeColor="text1"/>
          <w:sz w:val="32"/>
          <w:szCs w:val="32"/>
          <w:shd w:val="clear" w:color="auto" w:fill="auto"/>
          <w:lang w:val="zh-CN"/>
          <w14:textFill>
            <w14:solidFill>
              <w14:schemeClr w14:val="tx1"/>
            </w14:solidFill>
          </w14:textFill>
        </w:rPr>
        <w:t>（科目名称），2025年度决算数为</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1642.42</w:t>
      </w:r>
      <w:r>
        <w:rPr>
          <w:rFonts w:hint="eastAsia" w:ascii="仿宋" w:hAnsi="仿宋" w:eastAsia="仿宋" w:cs="仿宋"/>
          <w:color w:val="000000" w:themeColor="text1"/>
          <w:sz w:val="32"/>
          <w:szCs w:val="32"/>
          <w:shd w:val="clear" w:color="auto" w:fill="auto"/>
          <w:lang w:val="zh-CN"/>
          <w14:textFill>
            <w14:solidFill>
              <w14:schemeClr w14:val="tx1"/>
            </w14:solidFill>
          </w14:textFill>
        </w:rPr>
        <w:t>万元，占财政拨款支出总额的</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41.58</w:t>
      </w:r>
      <w:r>
        <w:rPr>
          <w:rFonts w:hint="eastAsia" w:ascii="仿宋" w:hAnsi="仿宋" w:eastAsia="仿宋" w:cs="仿宋"/>
          <w:color w:val="000000" w:themeColor="text1"/>
          <w:sz w:val="32"/>
          <w:szCs w:val="32"/>
          <w:shd w:val="clear" w:color="auto" w:fill="auto"/>
          <w:lang w:val="zh-CN"/>
          <w14:textFill>
            <w14:solidFill>
              <w14:schemeClr w14:val="tx1"/>
            </w14:solidFill>
          </w14:textFill>
        </w:rPr>
        <w:t>%，主要用于单位人员经费、日常公用经费，保障机关基本运转和行政管理事务。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shd w:val="clear" w:color="auto" w:fill="auto"/>
          <w14:textFill>
            <w14:solidFill>
              <w14:schemeClr w14:val="tx1"/>
            </w14:solidFill>
          </w14:textFill>
        </w:rPr>
      </w:pPr>
      <w:r>
        <w:rPr>
          <w:rFonts w:hint="eastAsia" w:ascii="黑体" w:hAnsi="黑体" w:eastAsia="黑体" w:cs="黑体"/>
          <w:bCs/>
          <w:color w:val="000000" w:themeColor="text1"/>
          <w:sz w:val="32"/>
          <w:szCs w:val="32"/>
          <w:shd w:val="clear" w:color="auto" w:fill="auto"/>
          <w14:textFill>
            <w14:solidFill>
              <w14:schemeClr w14:val="tx1"/>
            </w14:solidFill>
          </w14:textFill>
        </w:rPr>
        <w:t>十</w:t>
      </w:r>
      <w:r>
        <w:rPr>
          <w:rFonts w:hint="eastAsia" w:ascii="黑体" w:hAnsi="黑体" w:eastAsia="黑体" w:cs="黑体"/>
          <w:bCs/>
          <w:color w:val="000000" w:themeColor="text1"/>
          <w:sz w:val="32"/>
          <w:szCs w:val="32"/>
          <w:shd w:val="clear" w:color="auto" w:fill="auto"/>
          <w:lang w:val="en-US" w:eastAsia="zh-CN"/>
          <w14:textFill>
            <w14:solidFill>
              <w14:schemeClr w14:val="tx1"/>
            </w14:solidFill>
          </w14:textFill>
        </w:rPr>
        <w:t>二</w:t>
      </w:r>
      <w:r>
        <w:rPr>
          <w:rFonts w:hint="eastAsia" w:ascii="黑体" w:hAnsi="黑体" w:eastAsia="黑体" w:cs="黑体"/>
          <w:bCs/>
          <w:color w:val="000000" w:themeColor="text1"/>
          <w:sz w:val="32"/>
          <w:szCs w:val="32"/>
          <w:shd w:val="clear" w:color="auto" w:fill="auto"/>
          <w14:textFill>
            <w14:solidFill>
              <w14:schemeClr w14:val="tx1"/>
            </w14:solidFill>
          </w14:textFill>
        </w:rPr>
        <w:t>、其他重要事项情况说明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shd w:val="clear" w:color="auto" w:fill="auto"/>
          <w14:textFill>
            <w14:solidFill>
              <w14:schemeClr w14:val="tx1"/>
            </w14:solidFill>
          </w14:textFill>
        </w:rPr>
      </w:pPr>
      <w:bookmarkStart w:id="95" w:name="_Toc5978_WPSOffice_Level2"/>
      <w:bookmarkStart w:id="96" w:name="_Toc15565_WPSOffice_Level2"/>
      <w:bookmarkStart w:id="97" w:name="_Toc15262_WPSOffice_Level2"/>
      <w:bookmarkStart w:id="98" w:name="_Toc23598_WPSOffice_Level2"/>
      <w:bookmarkStart w:id="99" w:name="_Toc18325_WPSOffice_Level2"/>
      <w:bookmarkStart w:id="100" w:name="_Toc32639_WPSOffice_Level2"/>
      <w:r>
        <w:rPr>
          <w:rFonts w:hint="eastAsia" w:ascii="楷体" w:hAnsi="楷体" w:eastAsia="楷体" w:cs="楷体"/>
          <w:bCs/>
          <w:color w:val="000000" w:themeColor="text1"/>
          <w:sz w:val="32"/>
          <w:szCs w:val="32"/>
          <w:shd w:val="clear" w:color="auto" w:fill="auto"/>
          <w14:textFill>
            <w14:solidFill>
              <w14:schemeClr w14:val="tx1"/>
            </w14:solidFill>
          </w14:textFill>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shd w:val="clear" w:color="auto" w:fill="auto"/>
          <w14:textFill>
            <w14:solidFill>
              <w14:schemeClr w14:val="tx1"/>
            </w14:solidFill>
          </w14:textFill>
        </w:rPr>
      </w:pPr>
      <w:r>
        <w:rPr>
          <w:rFonts w:hint="eastAsia" w:ascii="仿宋" w:hAnsi="仿宋" w:eastAsia="仿宋" w:cs="仿宋"/>
          <w:color w:val="000000" w:themeColor="text1"/>
          <w:sz w:val="32"/>
          <w:szCs w:val="32"/>
          <w:shd w:val="clear" w:color="auto" w:fill="auto"/>
          <w:lang w:val="en-US"/>
          <w14:textFill>
            <w14:solidFill>
              <w14:schemeClr w14:val="tx1"/>
            </w14:solidFill>
          </w14:textFill>
        </w:rPr>
        <w:t>2025</w:t>
      </w:r>
      <w:r>
        <w:rPr>
          <w:rFonts w:hint="eastAsia" w:ascii="仿宋" w:hAnsi="仿宋" w:eastAsia="仿宋" w:cs="仿宋"/>
          <w:color w:val="000000" w:themeColor="text1"/>
          <w:sz w:val="32"/>
          <w:szCs w:val="32"/>
          <w:shd w:val="clear" w:color="auto" w:fill="auto"/>
          <w14:textFill>
            <w14:solidFill>
              <w14:schemeClr w14:val="tx1"/>
            </w14:solidFill>
          </w14:textFill>
        </w:rPr>
        <w:t>年度</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三亚市公安局海棠分局</w:t>
      </w:r>
      <w:r>
        <w:rPr>
          <w:rFonts w:hint="eastAsia" w:ascii="仿宋" w:hAnsi="仿宋" w:eastAsia="仿宋" w:cs="仿宋"/>
          <w:color w:val="000000" w:themeColor="text1"/>
          <w:sz w:val="32"/>
          <w:szCs w:val="32"/>
          <w:shd w:val="clear" w:color="auto" w:fill="auto"/>
          <w14:textFill>
            <w14:solidFill>
              <w14:schemeClr w14:val="tx1"/>
            </w14:solidFill>
          </w14:textFill>
        </w:rPr>
        <w:t>机关运行经费</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223.31</w:t>
      </w:r>
      <w:r>
        <w:rPr>
          <w:rFonts w:hint="eastAsia" w:ascii="仿宋" w:hAnsi="仿宋" w:eastAsia="仿宋" w:cs="仿宋"/>
          <w:color w:val="000000" w:themeColor="text1"/>
          <w:sz w:val="32"/>
          <w:szCs w:val="32"/>
          <w:shd w:val="clear" w:color="auto" w:fill="auto"/>
          <w14:textFill>
            <w14:solidFill>
              <w14:schemeClr w14:val="tx1"/>
            </w14:solidFill>
          </w14:textFill>
        </w:rPr>
        <w:t>万元（为部门决算中行政单位和参公事业单位财政拨款基本支出中公用经费支出之和，事业单位没有机关运行经费支出），比年初预算减少</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18.07</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完成预算的92.51</w:t>
      </w:r>
      <w:r>
        <w:rPr>
          <w:rFonts w:hint="eastAsia" w:ascii="仿宋" w:hAnsi="仿宋" w:eastAsia="仿宋" w:cs="仿宋"/>
          <w:color w:val="000000" w:themeColor="text1"/>
          <w:sz w:val="32"/>
          <w:szCs w:val="32"/>
          <w:shd w:val="clear" w:color="auto" w:fill="auto"/>
          <w14:textFill>
            <w14:solidFill>
              <w14:schemeClr w14:val="tx1"/>
            </w14:solidFill>
          </w14:textFill>
        </w:rPr>
        <w:t>%</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与2024年度相比，机关运行经费</w:t>
      </w:r>
      <w:r>
        <w:rPr>
          <w:rFonts w:hint="eastAsia" w:ascii="仿宋" w:hAnsi="仿宋" w:eastAsia="仿宋" w:cs="仿宋"/>
          <w:color w:val="000000" w:themeColor="text1"/>
          <w:sz w:val="32"/>
          <w:szCs w:val="32"/>
          <w:shd w:val="clear" w:color="auto" w:fill="auto"/>
          <w14:textFill>
            <w14:solidFill>
              <w14:schemeClr w14:val="tx1"/>
            </w14:solidFill>
          </w14:textFill>
        </w:rPr>
        <w:t>增加</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69.92</w:t>
      </w:r>
      <w:r>
        <w:rPr>
          <w:rFonts w:hint="eastAsia" w:ascii="仿宋" w:hAnsi="仿宋" w:eastAsia="仿宋" w:cs="仿宋"/>
          <w:color w:val="000000" w:themeColor="text1"/>
          <w:sz w:val="32"/>
          <w:szCs w:val="32"/>
          <w:shd w:val="clear" w:color="auto" w:fill="auto"/>
          <w14:textFill>
            <w14:solidFill>
              <w14:schemeClr w14:val="tx1"/>
            </w14:solidFill>
          </w14:textFill>
        </w:rPr>
        <w:t>万元</w:t>
      </w:r>
      <w:r>
        <w:rPr>
          <w:rFonts w:hint="eastAsia" w:ascii="仿宋" w:hAnsi="仿宋" w:eastAsia="仿宋" w:cs="仿宋"/>
          <w:color w:val="000000" w:themeColor="text1"/>
          <w:sz w:val="32"/>
          <w:szCs w:val="32"/>
          <w:shd w:val="clear" w:color="auto" w:fill="auto"/>
          <w:lang w:eastAsia="zh-CN"/>
          <w14:textFill>
            <w14:solidFill>
              <w14:schemeClr w14:val="tx1"/>
            </w14:solidFill>
          </w14:textFill>
        </w:rPr>
        <w:t>，</w:t>
      </w:r>
      <w:r>
        <w:rPr>
          <w:rFonts w:hint="eastAsia" w:ascii="仿宋" w:hAnsi="仿宋" w:eastAsia="仿宋" w:cs="仿宋"/>
          <w:color w:val="000000" w:themeColor="text1"/>
          <w:sz w:val="32"/>
          <w:szCs w:val="32"/>
          <w:shd w:val="clear" w:color="auto" w:fill="auto"/>
          <w:lang w:val="en-US" w:eastAsia="zh-CN"/>
          <w14:textFill>
            <w14:solidFill>
              <w14:schemeClr w14:val="tx1"/>
            </w14:solidFill>
          </w14:textFill>
        </w:rPr>
        <w:t>增长45.58%。</w:t>
      </w:r>
      <w:r>
        <w:rPr>
          <w:rFonts w:hint="eastAsia" w:ascii="仿宋" w:hAnsi="仿宋" w:eastAsia="仿宋" w:cs="仿宋"/>
          <w:color w:val="000000" w:themeColor="text1"/>
          <w:sz w:val="32"/>
          <w:szCs w:val="32"/>
          <w:shd w:val="clear" w:color="auto" w:fill="auto"/>
          <w14:textFill>
            <w14:solidFill>
              <w14:schemeClr w14:val="tx1"/>
            </w14:solidFill>
          </w14:textFill>
        </w:rPr>
        <w:t>主要原因是：</w:t>
      </w:r>
      <w:bookmarkStart w:id="101" w:name="_Toc32689_WPSOffice_Level2"/>
      <w:bookmarkStart w:id="102" w:name="_Toc23966_WPSOffice_Level2"/>
      <w:bookmarkStart w:id="103" w:name="_Toc25333_WPSOffice_Level2"/>
      <w:bookmarkStart w:id="104" w:name="_Toc13084_WPSOffice_Level2"/>
      <w:bookmarkStart w:id="105" w:name="_Toc30383_WPSOffice_Level2"/>
      <w:bookmarkStart w:id="106" w:name="_Toc3131_WPSOffice_Level2"/>
      <w:r>
        <w:rPr>
          <w:rFonts w:hint="eastAsia" w:ascii="仿宋" w:hAnsi="仿宋" w:eastAsia="仿宋" w:cs="仿宋"/>
          <w:color w:val="000000" w:themeColor="text1"/>
          <w:sz w:val="32"/>
          <w:szCs w:val="32"/>
          <w:shd w:val="clear" w:color="auto" w:fill="auto"/>
          <w:lang w:eastAsia="zh-CN"/>
          <w14:textFill>
            <w14:solidFill>
              <w14:schemeClr w14:val="tx1"/>
            </w14:solidFill>
          </w14:textFill>
        </w:rPr>
        <w:t>单位日常办公保障需求提升，水电、物业、办公耗材等基础公用开支随物价有所上涨；机关办公场所零星维修、设备维护频次增加；日常勤务、内部管理事务增多，差旅费、公务用车运维等相关公用支出据实增长，各项支出均严格按规定审核列支。</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（二）政府采购支出情况</w:t>
      </w:r>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w:t>
      </w:r>
      <w:r>
        <w:rPr>
          <w:rFonts w:hint="eastAsia" w:ascii="仿宋" w:hAnsi="仿宋" w:eastAsia="仿宋" w:cs="仿宋"/>
          <w:color w:val="000000" w:themeColor="text1"/>
          <w:sz w:val="32"/>
          <w:szCs w:val="32"/>
          <w:lang w:val="en-US" w:eastAsia="zh-CN"/>
          <w14:textFill>
            <w14:solidFill>
              <w14:schemeClr w14:val="tx1"/>
            </w14:solidFill>
          </w14:textFill>
        </w:rPr>
        <w:t>三亚市公安局海棠分局</w:t>
      </w:r>
      <w:r>
        <w:rPr>
          <w:rFonts w:hint="eastAsia" w:ascii="仿宋" w:hAnsi="仿宋" w:eastAsia="仿宋" w:cs="仿宋"/>
          <w:color w:val="000000" w:themeColor="text1"/>
          <w:sz w:val="32"/>
          <w:szCs w:val="32"/>
          <w14:textFill>
            <w14:solidFill>
              <w14:schemeClr w14:val="tx1"/>
            </w14:solidFill>
          </w14:textFill>
        </w:rPr>
        <w:t>政府采购支出总额</w:t>
      </w:r>
      <w:r>
        <w:rPr>
          <w:rFonts w:hint="eastAsia" w:ascii="仿宋" w:hAnsi="仿宋" w:eastAsia="仿宋" w:cs="仿宋"/>
          <w:color w:val="000000" w:themeColor="text1"/>
          <w:sz w:val="32"/>
          <w:szCs w:val="32"/>
          <w:lang w:val="en-US" w:eastAsia="zh-CN"/>
          <w14:textFill>
            <w14:solidFill>
              <w14:schemeClr w14:val="tx1"/>
            </w14:solidFill>
          </w14:textFill>
        </w:rPr>
        <w:t>258.26</w:t>
      </w:r>
      <w:r>
        <w:rPr>
          <w:rFonts w:hint="eastAsia" w:ascii="仿宋" w:hAnsi="仿宋" w:eastAsia="仿宋" w:cs="仿宋"/>
          <w:color w:val="000000" w:themeColor="text1"/>
          <w:sz w:val="32"/>
          <w:szCs w:val="32"/>
          <w14:textFill>
            <w14:solidFill>
              <w14:schemeClr w14:val="tx1"/>
            </w14:solidFill>
          </w14:textFill>
        </w:rPr>
        <w:t>万元，其中：政府采购货物支出</w:t>
      </w:r>
      <w:r>
        <w:rPr>
          <w:rFonts w:hint="eastAsia" w:ascii="仿宋" w:hAnsi="仿宋" w:eastAsia="仿宋" w:cs="仿宋"/>
          <w:color w:val="000000" w:themeColor="text1"/>
          <w:sz w:val="32"/>
          <w:szCs w:val="32"/>
          <w:lang w:val="en-US" w:eastAsia="zh-CN"/>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万元、政府采购工程支出</w:t>
      </w:r>
      <w:r>
        <w:rPr>
          <w:rFonts w:hint="eastAsia" w:ascii="仿宋" w:hAnsi="仿宋" w:eastAsia="仿宋" w:cs="仿宋"/>
          <w:color w:val="000000" w:themeColor="text1"/>
          <w:sz w:val="32"/>
          <w:szCs w:val="32"/>
          <w:lang w:val="en-US" w:eastAsia="zh-CN"/>
          <w14:textFill>
            <w14:solidFill>
              <w14:schemeClr w14:val="tx1"/>
            </w14:solidFill>
          </w14:textFill>
        </w:rPr>
        <w:t>258.26</w:t>
      </w:r>
      <w:r>
        <w:rPr>
          <w:rFonts w:hint="eastAsia" w:ascii="仿宋" w:hAnsi="仿宋" w:eastAsia="仿宋" w:cs="仿宋"/>
          <w:color w:val="000000" w:themeColor="text1"/>
          <w:sz w:val="32"/>
          <w:szCs w:val="32"/>
          <w14:textFill>
            <w14:solidFill>
              <w14:schemeClr w14:val="tx1"/>
            </w14:solidFill>
          </w14:textFill>
        </w:rPr>
        <w:t>万元、政府采购服务支出</w:t>
      </w:r>
      <w:r>
        <w:rPr>
          <w:rFonts w:hint="eastAsia" w:ascii="仿宋" w:hAnsi="仿宋" w:eastAsia="仿宋" w:cs="仿宋"/>
          <w:color w:val="000000" w:themeColor="text1"/>
          <w:sz w:val="32"/>
          <w:szCs w:val="32"/>
          <w:lang w:val="en-US" w:eastAsia="zh-CN"/>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万元。授予中小企业合同金额</w:t>
      </w:r>
      <w:r>
        <w:rPr>
          <w:rFonts w:hint="eastAsia" w:ascii="仿宋" w:hAnsi="仿宋" w:eastAsia="仿宋" w:cs="仿宋"/>
          <w:color w:val="000000" w:themeColor="text1"/>
          <w:sz w:val="32"/>
          <w:szCs w:val="32"/>
          <w:lang w:val="en-US" w:eastAsia="zh-CN"/>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万元，占政府采购支出总额的</w:t>
      </w:r>
      <w:r>
        <w:rPr>
          <w:rFonts w:hint="eastAsia" w:ascii="仿宋" w:hAnsi="仿宋" w:eastAsia="仿宋" w:cs="仿宋"/>
          <w:color w:val="000000" w:themeColor="text1"/>
          <w:sz w:val="32"/>
          <w:szCs w:val="32"/>
          <w:lang w:val="en-US" w:eastAsia="zh-CN"/>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%，其中：授予小微企业合同金额</w:t>
      </w:r>
      <w:r>
        <w:rPr>
          <w:rFonts w:hint="eastAsia" w:ascii="仿宋" w:hAnsi="仿宋" w:eastAsia="仿宋" w:cs="仿宋"/>
          <w:color w:val="000000" w:themeColor="text1"/>
          <w:sz w:val="32"/>
          <w:szCs w:val="32"/>
          <w:lang w:val="en-US" w:eastAsia="zh-CN"/>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kern w:val="0"/>
          <w:sz w:val="32"/>
          <w:szCs w:val="32"/>
          <w:lang w:bidi="ar"/>
          <w14:textFill>
            <w14:solidFill>
              <w14:schemeClr w14:val="tx1"/>
            </w14:solidFill>
          </w14:textFill>
        </w:rPr>
        <w:t>授予中小企业合同金额</w:t>
      </w:r>
      <w:r>
        <w:rPr>
          <w:rFonts w:hint="eastAsia" w:ascii="仿宋" w:hAnsi="仿宋" w:eastAsia="仿宋" w:cs="仿宋"/>
          <w:color w:val="000000" w:themeColor="text1"/>
          <w:sz w:val="32"/>
          <w:szCs w:val="32"/>
          <w14:textFill>
            <w14:solidFill>
              <w14:schemeClr w14:val="tx1"/>
            </w14:solidFill>
          </w14:textFill>
        </w:rPr>
        <w:t>的</w:t>
      </w:r>
      <w:r>
        <w:rPr>
          <w:rFonts w:hint="eastAsia" w:ascii="仿宋" w:hAnsi="仿宋" w:eastAsia="仿宋" w:cs="仿宋"/>
          <w:color w:val="000000" w:themeColor="text1"/>
          <w:sz w:val="32"/>
          <w:szCs w:val="32"/>
          <w:lang w:val="en-US" w:eastAsia="zh-CN"/>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7" w:name="_Toc29584_WPSOffice_Level2"/>
      <w:bookmarkStart w:id="108" w:name="_Toc19989_WPSOffice_Level2"/>
      <w:bookmarkStart w:id="109" w:name="_Toc527_WPSOffice_Level2"/>
      <w:bookmarkStart w:id="110" w:name="_Toc15129_WPSOffice_Level2"/>
      <w:bookmarkStart w:id="111" w:name="_Toc6016_WPSOffice_Level2"/>
      <w:bookmarkStart w:id="112" w:name="_Toc10902_WPSOffice_Level2"/>
      <w:r>
        <w:rPr>
          <w:rFonts w:hint="eastAsia" w:ascii="楷体" w:hAnsi="楷体" w:eastAsia="楷体" w:cs="楷体"/>
          <w:bCs/>
          <w:color w:val="000000" w:themeColor="text1"/>
          <w:sz w:val="32"/>
          <w:szCs w:val="32"/>
          <w14:textFill>
            <w14:solidFill>
              <w14:schemeClr w14:val="tx1"/>
            </w14:solidFill>
          </w14:textFill>
        </w:rPr>
        <w:t>（三）国有资产占用情况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截至</w:t>
      </w:r>
      <w:r>
        <w:rPr>
          <w:rFonts w:hint="eastAsia" w:ascii="仿宋" w:hAnsi="仿宋" w:eastAsia="仿宋" w:cs="仿宋"/>
          <w:bCs/>
          <w:color w:val="000000" w:themeColor="text1"/>
          <w:sz w:val="32"/>
          <w:szCs w:val="32"/>
          <w:lang w:val="en-US"/>
          <w14:textFill>
            <w14:solidFill>
              <w14:schemeClr w14:val="tx1"/>
            </w14:solidFill>
          </w14:textFill>
        </w:rPr>
        <w:t>2025</w:t>
      </w:r>
      <w:r>
        <w:rPr>
          <w:rFonts w:hint="eastAsia" w:ascii="仿宋" w:hAnsi="仿宋" w:eastAsia="仿宋" w:cs="仿宋"/>
          <w:bCs/>
          <w:color w:val="000000" w:themeColor="text1"/>
          <w:sz w:val="32"/>
          <w:szCs w:val="32"/>
          <w14:textFill>
            <w14:solidFill>
              <w14:schemeClr w14:val="tx1"/>
            </w14:solidFill>
          </w14:textFill>
        </w:rPr>
        <w:t>年12月31日，本部门拥有</w:t>
      </w:r>
      <w:r>
        <w:rPr>
          <w:rFonts w:hint="eastAsia" w:ascii="仿宋" w:hAnsi="仿宋" w:eastAsia="仿宋" w:cs="仿宋"/>
          <w:color w:val="000000" w:themeColor="text1"/>
          <w:sz w:val="32"/>
          <w:szCs w:val="32"/>
          <w14:textFill>
            <w14:solidFill>
              <w14:schemeClr w14:val="tx1"/>
            </w14:solidFill>
          </w14:textFill>
        </w:rPr>
        <w:t>房屋面积</w:t>
      </w:r>
      <w:r>
        <w:rPr>
          <w:rFonts w:hint="eastAsia" w:ascii="仿宋" w:hAnsi="仿宋" w:eastAsia="仿宋" w:cs="仿宋"/>
          <w:color w:val="000000" w:themeColor="text1"/>
          <w:sz w:val="32"/>
          <w:szCs w:val="32"/>
          <w:lang w:val="en-US" w:eastAsia="zh-CN"/>
          <w14:textFill>
            <w14:solidFill>
              <w14:schemeClr w14:val="tx1"/>
            </w14:solidFill>
          </w14:textFill>
        </w:rPr>
        <w:t>1276.25</w:t>
      </w:r>
      <w:r>
        <w:rPr>
          <w:rFonts w:hint="eastAsia" w:ascii="仿宋" w:hAnsi="仿宋" w:eastAsia="仿宋" w:cs="仿宋"/>
          <w:color w:val="000000" w:themeColor="text1"/>
          <w:sz w:val="32"/>
          <w:szCs w:val="32"/>
          <w14:textFill>
            <w14:solidFill>
              <w14:schemeClr w14:val="tx1"/>
            </w14:solidFill>
          </w14:textFill>
        </w:rPr>
        <w:t>平方米</w:t>
      </w:r>
      <w:r>
        <w:rPr>
          <w:rFonts w:hint="eastAsia" w:ascii="仿宋" w:hAnsi="仿宋" w:eastAsia="仿宋" w:cs="仿宋"/>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本部门共有车辆</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辆，其中，副部（省）级及以上领导用车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辆、主要负责人用车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辆、机要通信用车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辆、应急保障用车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辆、执法执勤用车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辆、特种专业技术用车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辆、离退休干部服务用车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辆、其他用车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辆，其他用车主要是……。</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单价100万元（含）以上设备（不含车辆）</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台（套）。</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bookmarkStart w:id="113" w:name="_Toc4398_WPSOffice_Level1"/>
      <w:bookmarkStart w:id="114" w:name="_Toc8808_WPSOffice_Level1"/>
      <w:bookmarkStart w:id="115" w:name="_Toc15425_WPSOffice_Level1"/>
      <w:bookmarkStart w:id="116" w:name="_Toc11039_WPSOffice_Level1"/>
      <w:bookmarkStart w:id="117" w:name="_Toc8874_WPSOffice_Level1"/>
      <w:bookmarkStart w:id="118" w:name="_Toc17580_WPSOffice_Level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黑体" w:hAnsi="ˎ̥" w:eastAsia="黑体"/>
          <w:sz w:val="32"/>
          <w:szCs w:val="32"/>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w:t>
      </w:r>
      <w:r>
        <w:rPr>
          <w:rFonts w:hint="eastAsia" w:ascii="仿宋" w:hAnsi="仿宋" w:eastAsia="仿宋" w:cs="仿宋"/>
          <w:b w:val="0"/>
          <w:bCs w:val="0"/>
          <w:sz w:val="32"/>
          <w:szCs w:val="32"/>
          <w:lang w:eastAsia="zh-CN"/>
        </w:rPr>
        <w:t>公共安全</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公安</w:t>
      </w:r>
      <w:r>
        <w:rPr>
          <w:rFonts w:hint="eastAsia" w:ascii="仿宋" w:hAnsi="仿宋" w:eastAsia="仿宋" w:cs="仿宋"/>
          <w:b w:val="0"/>
          <w:bCs w:val="0"/>
          <w:sz w:val="32"/>
          <w:szCs w:val="32"/>
        </w:rPr>
        <w:t>（款）行政运行（项）</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公共安全</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公安</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一般行政管理事务</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公共安全</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公安</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执法办案</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公共安全</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公安</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其他公安支出</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社会保障就业</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行政事业单位养老</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机关事业单位基本养老保险缴费</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社会保障就业</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行政事业单位养老</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机关事业单位职业年金缴费</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卫生健康</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行政事业单位医疗</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行政单位医疗</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8</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卫生健康</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行政事业单位医疗</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公务员医疗补助</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9</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住房保障</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住房改革</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eastAsia="zh-CN"/>
        </w:rPr>
        <w:t>住房公积金</w:t>
      </w:r>
      <w:r>
        <w:rPr>
          <w:rFonts w:hint="eastAsia" w:ascii="仿宋" w:hAnsi="仿宋" w:eastAsia="仿宋" w:cs="仿宋"/>
          <w:b w:val="0"/>
          <w:bCs w:val="0"/>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pP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ˎ̥">
    <w:altName w:val="微软雅黑"/>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Fonts w:hint="eastAsia" w:ascii="宋体" w:hAnsi="宋体" w:eastAsia="宋体" w:cs="宋体"/>
        <w:sz w:val="28"/>
        <w:szCs w:val="28"/>
      </w:rPr>
    </w:pPr>
    <w:r>
      <w:rPr>
        <w:rFonts w:hint="eastAsia" w:ascii="宋体" w:hAnsi="宋体" w:eastAsia="宋体" w:cs="宋体"/>
        <w:sz w:val="28"/>
        <w:szCs w:val="28"/>
      </w:rPr>
      <w:fldChar w:fldCharType="begin"/>
    </w:r>
    <w:r>
      <w:rPr>
        <w:rStyle w:val="13"/>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3"/>
        <w:rFonts w:hint="eastAsia" w:ascii="宋体" w:hAnsi="宋体" w:eastAsia="宋体" w:cs="宋体"/>
        <w:sz w:val="28"/>
        <w:szCs w:val="28"/>
      </w:rPr>
      <w:t>18</w:t>
    </w:r>
    <w:r>
      <w:rPr>
        <w:rFonts w:hint="eastAsia" w:ascii="宋体" w:hAnsi="宋体" w:eastAsia="宋体" w:cs="宋体"/>
        <w:sz w:val="28"/>
        <w:szCs w:val="28"/>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DE7ABA8A"/>
    <w:multiLevelType w:val="singleLevel"/>
    <w:tmpl w:val="DE7ABA8A"/>
    <w:lvl w:ilvl="0" w:tentative="0">
      <w:start w:val="1"/>
      <w:numFmt w:val="chineseCounting"/>
      <w:suff w:val="nothing"/>
      <w:lvlText w:val="%1、"/>
      <w:lvlJc w:val="left"/>
      <w:rPr>
        <w:rFonts w:hint="eastAsia"/>
      </w:rPr>
    </w:lvl>
  </w:abstractNum>
  <w:abstractNum w:abstractNumId="2">
    <w:nsid w:val="6ACC4488"/>
    <w:multiLevelType w:val="singleLevel"/>
    <w:tmpl w:val="6ACC4488"/>
    <w:lvl w:ilvl="0" w:tentative="0">
      <w:start w:val="1"/>
      <w:numFmt w:val="chineseCounting"/>
      <w:suff w:val="nothing"/>
      <w:lvlText w:val="%1、"/>
      <w:lvlJc w:val="left"/>
    </w:lvl>
  </w:abstractNum>
  <w:abstractNum w:abstractNumId="3">
    <w:nsid w:val="6AD1988F"/>
    <w:multiLevelType w:val="singleLevel"/>
    <w:tmpl w:val="6AD1988F"/>
    <w:lvl w:ilvl="0" w:tentative="0">
      <w:start w:val="2"/>
      <w:numFmt w:val="chineseCounting"/>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42AF3"/>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7367C4"/>
    <w:rsid w:val="03AF1619"/>
    <w:rsid w:val="04CB1139"/>
    <w:rsid w:val="06400C4E"/>
    <w:rsid w:val="080B7C62"/>
    <w:rsid w:val="09201287"/>
    <w:rsid w:val="0AF81AF7"/>
    <w:rsid w:val="0B8646CF"/>
    <w:rsid w:val="0F0D0E98"/>
    <w:rsid w:val="0F5B4403"/>
    <w:rsid w:val="0F64775C"/>
    <w:rsid w:val="0FC80124"/>
    <w:rsid w:val="106D0892"/>
    <w:rsid w:val="136F98C7"/>
    <w:rsid w:val="13CC1D73"/>
    <w:rsid w:val="17427E68"/>
    <w:rsid w:val="1755065F"/>
    <w:rsid w:val="17F378CF"/>
    <w:rsid w:val="180D7438"/>
    <w:rsid w:val="18EF7ABE"/>
    <w:rsid w:val="1AFC29C9"/>
    <w:rsid w:val="1BA70A38"/>
    <w:rsid w:val="1CA52F2E"/>
    <w:rsid w:val="1E3630B9"/>
    <w:rsid w:val="1E766B63"/>
    <w:rsid w:val="211D1A3A"/>
    <w:rsid w:val="22FB1D2D"/>
    <w:rsid w:val="24013373"/>
    <w:rsid w:val="26EEC2B5"/>
    <w:rsid w:val="29472309"/>
    <w:rsid w:val="2B2464DA"/>
    <w:rsid w:val="2B406E77"/>
    <w:rsid w:val="2BF67536"/>
    <w:rsid w:val="2C2A0C43"/>
    <w:rsid w:val="2C895B0F"/>
    <w:rsid w:val="2D1E73A5"/>
    <w:rsid w:val="2D984D48"/>
    <w:rsid w:val="2DAA682A"/>
    <w:rsid w:val="32717154"/>
    <w:rsid w:val="33240B26"/>
    <w:rsid w:val="34B63260"/>
    <w:rsid w:val="37FDA7E2"/>
    <w:rsid w:val="389D2A9B"/>
    <w:rsid w:val="3A314D88"/>
    <w:rsid w:val="3A746883"/>
    <w:rsid w:val="3C8A1D00"/>
    <w:rsid w:val="3CA15DE9"/>
    <w:rsid w:val="3D0F0457"/>
    <w:rsid w:val="3DF33005"/>
    <w:rsid w:val="3DFA2EB5"/>
    <w:rsid w:val="3FD02B45"/>
    <w:rsid w:val="3FE61EE5"/>
    <w:rsid w:val="406508EE"/>
    <w:rsid w:val="408D6263"/>
    <w:rsid w:val="41B40CEE"/>
    <w:rsid w:val="42834F1E"/>
    <w:rsid w:val="43FB56F5"/>
    <w:rsid w:val="45060392"/>
    <w:rsid w:val="46773AE2"/>
    <w:rsid w:val="46EC5EE9"/>
    <w:rsid w:val="48317291"/>
    <w:rsid w:val="484D5079"/>
    <w:rsid w:val="485F7024"/>
    <w:rsid w:val="488F68F0"/>
    <w:rsid w:val="48C447EC"/>
    <w:rsid w:val="48E70666"/>
    <w:rsid w:val="49C90F41"/>
    <w:rsid w:val="4C6877E5"/>
    <w:rsid w:val="4D146E2D"/>
    <w:rsid w:val="4D4E6D7A"/>
    <w:rsid w:val="4D6A468D"/>
    <w:rsid w:val="4EA86137"/>
    <w:rsid w:val="51DA7627"/>
    <w:rsid w:val="54AB6860"/>
    <w:rsid w:val="54CC0371"/>
    <w:rsid w:val="55384597"/>
    <w:rsid w:val="56031AB3"/>
    <w:rsid w:val="56B81EA5"/>
    <w:rsid w:val="56CA7FD0"/>
    <w:rsid w:val="57832294"/>
    <w:rsid w:val="57AE2B66"/>
    <w:rsid w:val="57FA38D1"/>
    <w:rsid w:val="58174786"/>
    <w:rsid w:val="59A911BA"/>
    <w:rsid w:val="5A6A4AC7"/>
    <w:rsid w:val="5AB97EAE"/>
    <w:rsid w:val="5BD75163"/>
    <w:rsid w:val="5D3216A2"/>
    <w:rsid w:val="5D9E1657"/>
    <w:rsid w:val="5E6C1C11"/>
    <w:rsid w:val="5F7D3333"/>
    <w:rsid w:val="601D7037"/>
    <w:rsid w:val="61385890"/>
    <w:rsid w:val="64CC0566"/>
    <w:rsid w:val="655F4E99"/>
    <w:rsid w:val="65991AE1"/>
    <w:rsid w:val="66CB4B3F"/>
    <w:rsid w:val="687436E1"/>
    <w:rsid w:val="68D039F3"/>
    <w:rsid w:val="6A6B4546"/>
    <w:rsid w:val="6A8E20AF"/>
    <w:rsid w:val="6C064AFB"/>
    <w:rsid w:val="6DA45C50"/>
    <w:rsid w:val="6DDA0D1E"/>
    <w:rsid w:val="6E9A7825"/>
    <w:rsid w:val="6F670F9B"/>
    <w:rsid w:val="6FA22116"/>
    <w:rsid w:val="737450E0"/>
    <w:rsid w:val="73E23BE3"/>
    <w:rsid w:val="74054476"/>
    <w:rsid w:val="742F38C4"/>
    <w:rsid w:val="749F4523"/>
    <w:rsid w:val="74AB66DC"/>
    <w:rsid w:val="74C4154C"/>
    <w:rsid w:val="75956FFF"/>
    <w:rsid w:val="762F0726"/>
    <w:rsid w:val="76CE30D6"/>
    <w:rsid w:val="778D20C9"/>
    <w:rsid w:val="77AA2D01"/>
    <w:rsid w:val="783C4637"/>
    <w:rsid w:val="78B16F7E"/>
    <w:rsid w:val="793C6888"/>
    <w:rsid w:val="7B2E1552"/>
    <w:rsid w:val="7CDE1DBD"/>
    <w:rsid w:val="7D943A85"/>
    <w:rsid w:val="7DB0448C"/>
    <w:rsid w:val="7DCD2343"/>
    <w:rsid w:val="7E5F9AA4"/>
    <w:rsid w:val="7FE95B93"/>
    <w:rsid w:val="8FFC8888"/>
    <w:rsid w:val="A7F73C99"/>
    <w:rsid w:val="BFFE3BF4"/>
    <w:rsid w:val="DED35C41"/>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annotation text"/>
    <w:basedOn w:val="1"/>
    <w:link w:val="15"/>
    <w:qFormat/>
    <w:uiPriority w:val="0"/>
    <w:pPr>
      <w:jc w:val="left"/>
    </w:pPr>
  </w:style>
  <w:style w:type="paragraph" w:styleId="5">
    <w:name w:val="Body Text"/>
    <w:basedOn w:val="1"/>
    <w:qFormat/>
    <w:uiPriority w:val="0"/>
    <w:pPr>
      <w:spacing w:after="120" w:afterLines="0" w:afterAutospacing="0"/>
    </w:pPr>
  </w:style>
  <w:style w:type="paragraph" w:styleId="6">
    <w:name w:val="Balloon Text"/>
    <w:basedOn w:val="1"/>
    <w:link w:val="16"/>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qFormat/>
    <w:uiPriority w:val="0"/>
    <w:rPr>
      <w:b/>
      <w:bCs/>
    </w:rPr>
  </w:style>
  <w:style w:type="paragraph" w:styleId="10">
    <w:name w:val="Body Text First Indent"/>
    <w:basedOn w:val="5"/>
    <w:qFormat/>
    <w:uiPriority w:val="0"/>
    <w:pPr>
      <w:ind w:firstLine="420" w:firstLineChars="100"/>
    </w:pPr>
  </w:style>
  <w:style w:type="character" w:styleId="13">
    <w:name w:val="page number"/>
    <w:qFormat/>
    <w:uiPriority w:val="0"/>
  </w:style>
  <w:style w:type="character" w:styleId="14">
    <w:name w:val="annotation reference"/>
    <w:qFormat/>
    <w:uiPriority w:val="0"/>
    <w:rPr>
      <w:sz w:val="21"/>
      <w:szCs w:val="21"/>
    </w:rPr>
  </w:style>
  <w:style w:type="character" w:customStyle="1" w:styleId="15">
    <w:name w:val="批注文字 Char"/>
    <w:link w:val="4"/>
    <w:qFormat/>
    <w:uiPriority w:val="0"/>
    <w:rPr>
      <w:kern w:val="2"/>
      <w:sz w:val="21"/>
      <w:szCs w:val="24"/>
    </w:rPr>
  </w:style>
  <w:style w:type="character" w:customStyle="1" w:styleId="16">
    <w:name w:val="批注框文本 Char"/>
    <w:link w:val="6"/>
    <w:qFormat/>
    <w:uiPriority w:val="0"/>
    <w:rPr>
      <w:kern w:val="2"/>
      <w:sz w:val="18"/>
      <w:szCs w:val="18"/>
    </w:rPr>
  </w:style>
  <w:style w:type="character" w:customStyle="1" w:styleId="17">
    <w:name w:val="页眉 Char"/>
    <w:link w:val="8"/>
    <w:qFormat/>
    <w:uiPriority w:val="0"/>
    <w:rPr>
      <w:kern w:val="2"/>
      <w:sz w:val="18"/>
      <w:szCs w:val="18"/>
    </w:rPr>
  </w:style>
  <w:style w:type="character" w:customStyle="1" w:styleId="18">
    <w:name w:val="批注主题 Char"/>
    <w:link w:val="9"/>
    <w:qFormat/>
    <w:uiPriority w:val="0"/>
    <w:rPr>
      <w:b/>
      <w:bCs/>
      <w:kern w:val="2"/>
      <w:sz w:val="21"/>
      <w:szCs w:val="24"/>
    </w:rPr>
  </w:style>
  <w:style w:type="paragraph" w:customStyle="1" w:styleId="19">
    <w:name w:val="WPSOffice手动目录 1"/>
    <w:qFormat/>
    <w:uiPriority w:val="0"/>
    <w:rPr>
      <w:rFonts w:ascii="Times New Roman" w:hAnsi="Times New Roman" w:eastAsia="宋体" w:cs="Times New Roman"/>
      <w:lang w:val="en-US" w:eastAsia="zh-CN" w:bidi="ar-SA"/>
    </w:rPr>
  </w:style>
  <w:style w:type="paragraph" w:customStyle="1" w:styleId="20">
    <w:name w:val="WPSOffice手动目录 2"/>
    <w:qFormat/>
    <w:uiPriority w:val="0"/>
    <w:pPr>
      <w:ind w:leftChars="200"/>
    </w:pPr>
    <w:rPr>
      <w:rFonts w:ascii="Times New Roman" w:hAnsi="Times New Roman" w:eastAsia="宋体" w:cs="Times New Roman"/>
      <w:lang w:val="en-US" w:eastAsia="zh-CN" w:bidi="ar-SA"/>
    </w:rPr>
  </w:style>
  <w:style w:type="paragraph" w:customStyle="1" w:styleId="21">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1086</Words>
  <Characters>2053</Characters>
  <Lines>67</Lines>
  <Paragraphs>18</Paragraphs>
  <TotalTime>9</TotalTime>
  <ScaleCrop>false</ScaleCrop>
  <LinksUpToDate>false</LinksUpToDate>
  <CharactersWithSpaces>2089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2024-07-24T19:26:00Z</dcterms:created>
  <dc:creator>uos</dc:creator>
  <cp:lastModifiedBy>syga</cp:lastModifiedBy>
  <cp:lastPrinted>2026-10-16T19:59:00Z</cp:lastPrinted>
  <dcterms:modified xsi:type="dcterms:W3CDTF">2026-10-20T17:35:09Z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