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三亚市公安局凤凰机场公安局</w:t>
      </w:r>
      <w:r>
        <w:rPr>
          <w:rFonts w:hint="default" w:asciiTheme="majorEastAsia" w:hAnsiTheme="majorEastAsia" w:eastAsiaTheme="majorEastAsia" w:cstheme="majorEastAsia"/>
          <w:b/>
          <w:bCs/>
          <w:sz w:val="44"/>
          <w:szCs w:val="44"/>
          <w:lang w:val="en-US"/>
        </w:rPr>
        <w:t>2025</w:t>
      </w:r>
      <w:r>
        <w:rPr>
          <w:rFonts w:hint="eastAsia" w:asciiTheme="majorEastAsia" w:hAnsiTheme="majorEastAsia" w:eastAsiaTheme="majorEastAsia" w:cstheme="majorEastAsia"/>
          <w:b/>
          <w:bCs/>
          <w:sz w:val="44"/>
          <w:szCs w:val="44"/>
        </w:rPr>
        <w:t>年度部门决算公开报告</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黑体" w:hAnsi="ˎ̥" w:eastAsia="黑体"/>
          <w:b/>
          <w:sz w:val="32"/>
          <w:szCs w:val="32"/>
        </w:rPr>
      </w:pPr>
    </w:p>
    <w:p>
      <w:pPr>
        <w:keepNext w:val="0"/>
        <w:keepLines w:val="0"/>
        <w:pageBreakBefore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黑体" w:hAnsi="黑体" w:eastAsia="黑体" w:cs="黑体"/>
          <w:sz w:val="44"/>
          <w:szCs w:val="44"/>
        </w:rPr>
      </w:pPr>
      <w:bookmarkStart w:id="0" w:name="_Toc11440_WPSOffice_Type2"/>
      <w:r>
        <w:rPr>
          <w:rFonts w:hint="eastAsia" w:ascii="黑体" w:hAnsi="黑体" w:eastAsia="黑体" w:cs="黑体"/>
          <w:sz w:val="44"/>
          <w:szCs w:val="44"/>
        </w:rPr>
        <w:t>目  录</w:t>
      </w:r>
    </w:p>
    <w:p>
      <w:pPr>
        <w:pStyle w:val="17"/>
        <w:keepNext w:val="0"/>
        <w:keepLines w:val="0"/>
        <w:pageBreakBefore w:val="0"/>
        <w:tabs>
          <w:tab w:val="right" w:leader="dot" w:pos="8306"/>
        </w:tabs>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sz w:val="32"/>
          <w:szCs w:val="32"/>
        </w:rPr>
      </w:pPr>
      <w:r>
        <w:rPr>
          <w:sz w:val="32"/>
          <w:szCs w:val="32"/>
        </w:rPr>
        <w:fldChar w:fldCharType="begin"/>
      </w:r>
      <w:r>
        <w:rPr>
          <w:sz w:val="32"/>
          <w:szCs w:val="32"/>
        </w:rPr>
        <w:instrText xml:space="preserve"> HYPERLINK \l _Toc1704_WPSOffice_Level1 </w:instrText>
      </w:r>
      <w:r>
        <w:rPr>
          <w:sz w:val="32"/>
          <w:szCs w:val="32"/>
        </w:rPr>
        <w:fldChar w:fldCharType="separate"/>
      </w:r>
      <w:r>
        <w:rPr>
          <w:rFonts w:hint="eastAsia" w:ascii="黑体" w:hAnsi="ˎ̥" w:eastAsia="黑体"/>
          <w:sz w:val="32"/>
          <w:szCs w:val="32"/>
        </w:rPr>
        <w:t>第一部分 基本情况</w:t>
      </w:r>
      <w:r>
        <w:rPr>
          <w:sz w:val="32"/>
          <w:szCs w:val="32"/>
        </w:rPr>
        <w:tab/>
      </w:r>
      <w:r>
        <w:rPr>
          <w:sz w:val="32"/>
          <w:szCs w:val="32"/>
        </w:rPr>
        <w:fldChar w:fldCharType="end"/>
      </w:r>
      <w:r>
        <w:rPr>
          <w:rFonts w:hint="eastAsia"/>
          <w:sz w:val="32"/>
          <w:szCs w:val="32"/>
        </w:rPr>
        <w:t>2</w:t>
      </w:r>
    </w:p>
    <w:p>
      <w:pPr>
        <w:pStyle w:val="18"/>
        <w:keepNext w:val="0"/>
        <w:keepLines w:val="0"/>
        <w:pageBreakBefore w:val="0"/>
        <w:tabs>
          <w:tab w:val="right" w:leader="dot" w:pos="8306"/>
        </w:tabs>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_Toc20274_WPSOffice_Level2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rPr>
        <w:t>一、部门（单位）职责</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2</w:t>
      </w:r>
    </w:p>
    <w:p>
      <w:pPr>
        <w:pStyle w:val="18"/>
        <w:keepNext w:val="0"/>
        <w:keepLines w:val="0"/>
        <w:pageBreakBefore w:val="0"/>
        <w:tabs>
          <w:tab w:val="right" w:leader="dot" w:pos="8306"/>
        </w:tabs>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_Toc4833_WPSOffice_Level2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rPr>
        <w:t>二、机构设置</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2</w:t>
      </w:r>
    </w:p>
    <w:p>
      <w:pPr>
        <w:pStyle w:val="17"/>
        <w:keepNext w:val="0"/>
        <w:keepLines w:val="0"/>
        <w:pageBreakBefore w:val="0"/>
        <w:tabs>
          <w:tab w:val="right" w:leader="dot" w:pos="8306"/>
        </w:tabs>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sz w:val="32"/>
          <w:szCs w:val="32"/>
        </w:rPr>
      </w:pPr>
      <w:r>
        <w:rPr>
          <w:sz w:val="32"/>
          <w:szCs w:val="32"/>
        </w:rPr>
        <w:fldChar w:fldCharType="begin"/>
      </w:r>
      <w:r>
        <w:rPr>
          <w:sz w:val="32"/>
          <w:szCs w:val="32"/>
        </w:rPr>
        <w:instrText xml:space="preserve"> HYPERLINK \l _Toc28253_WPSOffice_Level1 </w:instrText>
      </w:r>
      <w:r>
        <w:rPr>
          <w:sz w:val="32"/>
          <w:szCs w:val="32"/>
        </w:rPr>
        <w:fldChar w:fldCharType="separate"/>
      </w:r>
      <w:r>
        <w:rPr>
          <w:rFonts w:hint="eastAsia" w:ascii="黑体" w:hAnsi="ˎ̥" w:eastAsia="黑体"/>
          <w:sz w:val="32"/>
          <w:szCs w:val="32"/>
        </w:rPr>
        <w:t xml:space="preserve">第二部分  </w:t>
      </w:r>
      <w:r>
        <w:rPr>
          <w:rFonts w:hint="default" w:ascii="黑体" w:hAnsi="ˎ̥" w:eastAsia="黑体"/>
          <w:sz w:val="32"/>
          <w:szCs w:val="32"/>
          <w:lang w:val="en-US"/>
        </w:rPr>
        <w:t>2025</w:t>
      </w:r>
      <w:r>
        <w:rPr>
          <w:rFonts w:hint="eastAsia" w:ascii="黑体" w:hAnsi="ˎ̥" w:eastAsia="黑体"/>
          <w:sz w:val="32"/>
          <w:szCs w:val="32"/>
        </w:rPr>
        <w:t>年度部门决算公开表</w:t>
      </w:r>
      <w:r>
        <w:rPr>
          <w:sz w:val="32"/>
          <w:szCs w:val="32"/>
        </w:rPr>
        <w:tab/>
      </w:r>
      <w:r>
        <w:rPr>
          <w:sz w:val="32"/>
          <w:szCs w:val="32"/>
        </w:rPr>
        <w:fldChar w:fldCharType="end"/>
      </w:r>
      <w:r>
        <w:rPr>
          <w:rFonts w:hint="eastAsia"/>
          <w:sz w:val="32"/>
          <w:szCs w:val="32"/>
          <w:lang w:val="en-US" w:eastAsia="zh-CN"/>
        </w:rPr>
        <w:t>3</w:t>
      </w:r>
    </w:p>
    <w:p>
      <w:pPr>
        <w:pStyle w:val="17"/>
        <w:keepNext w:val="0"/>
        <w:keepLines w:val="0"/>
        <w:pageBreakBefore w:val="0"/>
        <w:tabs>
          <w:tab w:val="right" w:leader="dot" w:pos="8306"/>
        </w:tabs>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sz w:val="32"/>
          <w:szCs w:val="32"/>
        </w:rPr>
      </w:pPr>
      <w:r>
        <w:rPr>
          <w:sz w:val="32"/>
          <w:szCs w:val="32"/>
        </w:rPr>
        <w:fldChar w:fldCharType="begin"/>
      </w:r>
      <w:r>
        <w:rPr>
          <w:sz w:val="32"/>
          <w:szCs w:val="32"/>
        </w:rPr>
        <w:instrText xml:space="preserve"> HYPERLINK \l _Toc27590_WPSOffice_Level1 </w:instrText>
      </w:r>
      <w:r>
        <w:rPr>
          <w:sz w:val="32"/>
          <w:szCs w:val="32"/>
        </w:rPr>
        <w:fldChar w:fldCharType="separate"/>
      </w:r>
      <w:r>
        <w:rPr>
          <w:rFonts w:hint="eastAsia" w:ascii="黑体" w:hAnsi="黑体" w:eastAsia="黑体" w:cs="黑体"/>
          <w:sz w:val="32"/>
          <w:szCs w:val="32"/>
        </w:rPr>
        <w:t>第三部分</w:t>
      </w:r>
      <w:r>
        <w:rPr>
          <w:rFonts w:hint="eastAsia"/>
          <w:sz w:val="32"/>
          <w:szCs w:val="32"/>
        </w:rPr>
        <w:t xml:space="preserve">  </w:t>
      </w:r>
      <w:r>
        <w:rPr>
          <w:rFonts w:hint="default" w:ascii="黑体" w:hAnsi="ˎ̥" w:eastAsia="黑体"/>
          <w:sz w:val="32"/>
          <w:szCs w:val="32"/>
          <w:lang w:val="en-US"/>
        </w:rPr>
        <w:t>2025</w:t>
      </w:r>
      <w:r>
        <w:rPr>
          <w:rFonts w:hint="eastAsia" w:ascii="黑体" w:hAnsi="ˎ̥" w:eastAsia="黑体"/>
          <w:sz w:val="32"/>
          <w:szCs w:val="32"/>
        </w:rPr>
        <w:t>年度部门决算情况说明</w:t>
      </w:r>
      <w:r>
        <w:rPr>
          <w:sz w:val="32"/>
          <w:szCs w:val="32"/>
        </w:rPr>
        <w:tab/>
      </w:r>
      <w:r>
        <w:rPr>
          <w:sz w:val="32"/>
          <w:szCs w:val="32"/>
        </w:rPr>
        <w:fldChar w:fldCharType="end"/>
      </w:r>
      <w:r>
        <w:rPr>
          <w:rFonts w:hint="eastAsia"/>
          <w:sz w:val="32"/>
          <w:szCs w:val="32"/>
        </w:rPr>
        <w:t>3</w:t>
      </w:r>
    </w:p>
    <w:p>
      <w:pPr>
        <w:pStyle w:val="18"/>
        <w:keepNext w:val="0"/>
        <w:keepLines w:val="0"/>
        <w:pageBreakBefore w:val="0"/>
        <w:tabs>
          <w:tab w:val="right" w:leader="dot" w:pos="8306"/>
        </w:tabs>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_Toc21737_WPSOffice_Level2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一、收入支出总体情况说明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3</w:t>
      </w:r>
    </w:p>
    <w:p>
      <w:pPr>
        <w:pStyle w:val="18"/>
        <w:keepNext w:val="0"/>
        <w:keepLines w:val="0"/>
        <w:pageBreakBefore w:val="0"/>
        <w:tabs>
          <w:tab w:val="right" w:leader="dot" w:pos="8306"/>
        </w:tabs>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二、收入决算情况说明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4</w:t>
      </w:r>
    </w:p>
    <w:p>
      <w:pPr>
        <w:pStyle w:val="18"/>
        <w:keepNext w:val="0"/>
        <w:keepLines w:val="0"/>
        <w:pageBreakBefore w:val="0"/>
        <w:tabs>
          <w:tab w:val="right" w:leader="dot" w:pos="8306"/>
        </w:tabs>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三、支出决算情况说明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5</w:t>
      </w:r>
    </w:p>
    <w:p>
      <w:pPr>
        <w:pStyle w:val="18"/>
        <w:keepNext w:val="0"/>
        <w:keepLines w:val="0"/>
        <w:pageBreakBefore w:val="0"/>
        <w:tabs>
          <w:tab w:val="right" w:leader="dot" w:pos="8306"/>
        </w:tabs>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四、财政拨款收入支出决算</w:t>
      </w:r>
      <w:r>
        <w:rPr>
          <w:rFonts w:hint="eastAsia" w:ascii="仿宋" w:hAnsi="仿宋" w:eastAsia="仿宋" w:cs="仿宋"/>
          <w:bCs/>
          <w:sz w:val="32"/>
          <w:szCs w:val="32"/>
          <w:lang w:val="en-US" w:eastAsia="zh-CN"/>
        </w:rPr>
        <w:t>总体</w:t>
      </w:r>
      <w:r>
        <w:rPr>
          <w:rFonts w:hint="eastAsia" w:ascii="仿宋" w:hAnsi="仿宋" w:eastAsia="仿宋" w:cs="仿宋"/>
          <w:bCs/>
          <w:sz w:val="32"/>
          <w:szCs w:val="32"/>
        </w:rPr>
        <w:t>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5</w:t>
      </w:r>
    </w:p>
    <w:p>
      <w:pPr>
        <w:pStyle w:val="18"/>
        <w:keepNext w:val="0"/>
        <w:keepLines w:val="0"/>
        <w:pageBreakBefore w:val="0"/>
        <w:tabs>
          <w:tab w:val="right" w:leader="dot" w:pos="8306"/>
        </w:tabs>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五、一般公共预算财政拨款支出决算情况说明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6</w:t>
      </w:r>
    </w:p>
    <w:p>
      <w:pPr>
        <w:pStyle w:val="18"/>
        <w:keepNext w:val="0"/>
        <w:keepLines w:val="0"/>
        <w:pageBreakBefore w:val="0"/>
        <w:tabs>
          <w:tab w:val="right" w:leader="dot" w:pos="8306"/>
        </w:tabs>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六、一般公共预算财政拨款基本支出决算情况说明</w:t>
      </w:r>
      <w:r>
        <w:rPr>
          <w:rFonts w:hint="eastAsia" w:ascii="仿宋" w:hAnsi="仿宋" w:eastAsia="仿宋" w:cs="仿宋"/>
          <w:sz w:val="32"/>
          <w:szCs w:val="32"/>
        </w:rPr>
        <w:fldChar w:fldCharType="end"/>
      </w:r>
      <w:r>
        <w:rPr>
          <w:rFonts w:hint="eastAsia" w:ascii="仿宋" w:hAnsi="仿宋" w:eastAsia="仿宋" w:cs="仿宋"/>
          <w:sz w:val="32"/>
          <w:szCs w:val="32"/>
        </w:rPr>
        <w:tab/>
      </w:r>
      <w:r>
        <w:rPr>
          <w:rFonts w:hint="eastAsia" w:ascii="仿宋" w:hAnsi="仿宋" w:eastAsia="仿宋" w:cs="仿宋"/>
          <w:sz w:val="32"/>
          <w:szCs w:val="32"/>
          <w:lang w:val="en-US" w:eastAsia="zh-CN"/>
        </w:rPr>
        <w:t>9</w:t>
      </w:r>
    </w:p>
    <w:p>
      <w:pPr>
        <w:pStyle w:val="18"/>
        <w:keepNext w:val="0"/>
        <w:keepLines w:val="0"/>
        <w:pageBreakBefore w:val="0"/>
        <w:numPr>
          <w:ilvl w:val="0"/>
          <w:numId w:val="0"/>
        </w:numPr>
        <w:tabs>
          <w:tab w:val="right" w:leader="dot" w:pos="8306"/>
        </w:tabs>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ascii="仿宋" w:hAnsi="仿宋" w:eastAsia="仿宋" w:cs="仿宋"/>
          <w:sz w:val="32"/>
          <w:szCs w:val="32"/>
        </w:rPr>
      </w:pPr>
      <w:r>
        <w:rPr>
          <w:rFonts w:hint="eastAsia" w:ascii="仿宋" w:hAnsi="仿宋" w:eastAsia="仿宋" w:cs="仿宋"/>
          <w:bCs/>
          <w:sz w:val="32"/>
          <w:szCs w:val="32"/>
          <w:lang w:val="en-US" w:eastAsia="zh-CN"/>
        </w:rPr>
        <w:t>七、</w:t>
      </w:r>
      <w:r>
        <w:rPr>
          <w:rFonts w:hint="eastAsia" w:ascii="仿宋" w:hAnsi="仿宋" w:eastAsia="仿宋" w:cs="仿宋"/>
          <w:bCs/>
          <w:sz w:val="32"/>
          <w:szCs w:val="32"/>
        </w:rPr>
        <w:t>政府性基金预算财政拨款支出决算情况说明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10</w:t>
      </w:r>
    </w:p>
    <w:p>
      <w:pPr>
        <w:pStyle w:val="18"/>
        <w:keepNext w:val="0"/>
        <w:keepLines w:val="0"/>
        <w:pageBreakBefore w:val="0"/>
        <w:numPr>
          <w:ilvl w:val="0"/>
          <w:numId w:val="0"/>
        </w:numPr>
        <w:tabs>
          <w:tab w:val="right" w:leader="dot" w:pos="8306"/>
        </w:tabs>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ascii="仿宋" w:hAnsi="仿宋" w:eastAsia="仿宋" w:cs="仿宋"/>
          <w:sz w:val="32"/>
          <w:szCs w:val="32"/>
        </w:rPr>
      </w:pPr>
      <w:r>
        <w:rPr>
          <w:rFonts w:hint="eastAsia" w:ascii="仿宋" w:hAnsi="仿宋" w:eastAsia="仿宋" w:cs="仿宋"/>
          <w:bCs/>
          <w:sz w:val="32"/>
          <w:szCs w:val="32"/>
          <w:lang w:val="en-US" w:eastAsia="zh-CN"/>
        </w:rPr>
        <w:t>八、</w:t>
      </w:r>
      <w:r>
        <w:rPr>
          <w:rFonts w:hint="eastAsia" w:ascii="仿宋" w:hAnsi="仿宋" w:eastAsia="仿宋" w:cs="仿宋"/>
          <w:bCs/>
          <w:sz w:val="32"/>
          <w:szCs w:val="32"/>
        </w:rPr>
        <w:t>国有资本经营预算财政拨款支出决算情况说明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10</w:t>
      </w:r>
    </w:p>
    <w:p>
      <w:pPr>
        <w:pStyle w:val="18"/>
        <w:keepNext w:val="0"/>
        <w:keepLines w:val="0"/>
        <w:pageBreakBefore w:val="0"/>
        <w:tabs>
          <w:tab w:val="right" w:leader="dot" w:pos="8306"/>
        </w:tabs>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九、财政拨款“三公”经费支出决算情况说明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11</w:t>
      </w:r>
    </w:p>
    <w:p>
      <w:pPr>
        <w:pStyle w:val="18"/>
        <w:keepNext w:val="0"/>
        <w:keepLines w:val="0"/>
        <w:pageBreakBefore w:val="0"/>
        <w:tabs>
          <w:tab w:val="right" w:leader="dot" w:pos="8306"/>
        </w:tabs>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ascii="仿宋" w:hAnsi="仿宋" w:eastAsia="仿宋" w:cs="仿宋"/>
          <w:sz w:val="32"/>
          <w:szCs w:val="32"/>
        </w:rPr>
      </w:pPr>
      <w:bookmarkStart w:id="119" w:name="_GoBack"/>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十、预算绩效情况说明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1</w:t>
      </w:r>
      <w:r>
        <w:rPr>
          <w:rFonts w:hint="eastAsia" w:ascii="仿宋" w:hAnsi="仿宋" w:eastAsia="仿宋" w:cs="仿宋"/>
          <w:sz w:val="32"/>
          <w:szCs w:val="32"/>
          <w:lang w:val="en-US" w:eastAsia="zh-CN"/>
        </w:rPr>
        <w:t>2</w:t>
      </w:r>
    </w:p>
    <w:bookmarkEnd w:id="119"/>
    <w:p>
      <w:pPr>
        <w:pStyle w:val="18"/>
        <w:keepNext w:val="0"/>
        <w:keepLines w:val="0"/>
        <w:pageBreakBefore w:val="0"/>
        <w:numPr>
          <w:ilvl w:val="0"/>
          <w:numId w:val="0"/>
        </w:numPr>
        <w:tabs>
          <w:tab w:val="right" w:leader="dot" w:pos="8306"/>
        </w:tabs>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ascii="仿宋" w:hAnsi="仿宋" w:eastAsia="仿宋" w:cs="仿宋"/>
          <w:sz w:val="32"/>
          <w:szCs w:val="32"/>
        </w:rPr>
      </w:pPr>
      <w:r>
        <w:rPr>
          <w:rFonts w:hint="eastAsia" w:ascii="仿宋" w:hAnsi="仿宋" w:eastAsia="仿宋" w:cs="仿宋"/>
          <w:bCs/>
          <w:sz w:val="32"/>
          <w:szCs w:val="32"/>
          <w:lang w:val="en-US" w:eastAsia="zh-CN"/>
        </w:rPr>
        <w:t>十一、</w:t>
      </w:r>
      <w:r>
        <w:rPr>
          <w:rFonts w:hint="eastAsia" w:ascii="仿宋" w:hAnsi="仿宋" w:eastAsia="仿宋" w:cs="仿宋"/>
          <w:bCs/>
          <w:sz w:val="32"/>
          <w:szCs w:val="32"/>
        </w:rPr>
        <w:t>落实习惯过紧日子要求、保障重点支出情况说明</w:t>
      </w:r>
      <w:r>
        <w:rPr>
          <w:rFonts w:hint="eastAsia" w:ascii="仿宋" w:hAnsi="仿宋" w:eastAsia="仿宋" w:cs="仿宋"/>
          <w:sz w:val="32"/>
          <w:szCs w:val="32"/>
        </w:rPr>
        <w:tab/>
      </w:r>
      <w:r>
        <w:rPr>
          <w:rFonts w:hint="eastAsia" w:ascii="仿宋" w:hAnsi="仿宋" w:eastAsia="仿宋" w:cs="仿宋"/>
          <w:sz w:val="32"/>
          <w:szCs w:val="32"/>
        </w:rPr>
        <w:t>1</w:t>
      </w:r>
      <w:r>
        <w:rPr>
          <w:rFonts w:hint="eastAsia" w:ascii="仿宋" w:hAnsi="仿宋" w:eastAsia="仿宋" w:cs="仿宋"/>
          <w:sz w:val="32"/>
          <w:szCs w:val="32"/>
          <w:lang w:val="en-US" w:eastAsia="zh-CN"/>
        </w:rPr>
        <w:t>4</w:t>
      </w:r>
    </w:p>
    <w:p>
      <w:pPr>
        <w:pStyle w:val="18"/>
        <w:keepNext w:val="0"/>
        <w:keepLines w:val="0"/>
        <w:pageBreakBefore w:val="0"/>
        <w:tabs>
          <w:tab w:val="right" w:leader="dot" w:pos="8306"/>
        </w:tabs>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default" w:ascii="仿宋" w:hAnsi="仿宋" w:eastAsia="仿宋" w:cs="仿宋"/>
          <w:sz w:val="32"/>
          <w:szCs w:val="32"/>
          <w:lang w:val="en-US"/>
        </w:rPr>
      </w:pPr>
      <w:r>
        <w:rPr>
          <w:rFonts w:hint="eastAsia" w:ascii="仿宋" w:hAnsi="仿宋" w:eastAsia="仿宋" w:cs="仿宋"/>
          <w:bCs/>
          <w:sz w:val="32"/>
          <w:szCs w:val="32"/>
        </w:rPr>
        <w:t>十</w:t>
      </w:r>
      <w:r>
        <w:rPr>
          <w:rFonts w:hint="eastAsia" w:ascii="仿宋" w:hAnsi="仿宋" w:eastAsia="仿宋" w:cs="仿宋"/>
          <w:bCs/>
          <w:sz w:val="32"/>
          <w:szCs w:val="32"/>
          <w:lang w:val="en-US" w:eastAsia="zh-CN"/>
        </w:rPr>
        <w:t>二</w:t>
      </w:r>
      <w:r>
        <w:rPr>
          <w:rFonts w:hint="eastAsia" w:ascii="仿宋" w:hAnsi="仿宋" w:eastAsia="仿宋" w:cs="仿宋"/>
          <w:bCs/>
          <w:sz w:val="32"/>
          <w:szCs w:val="32"/>
        </w:rPr>
        <w:t>、其他重要事项情况说明</w:t>
      </w:r>
      <w:r>
        <w:rPr>
          <w:rFonts w:hint="eastAsia" w:ascii="仿宋" w:hAnsi="仿宋" w:eastAsia="仿宋" w:cs="仿宋"/>
          <w:sz w:val="32"/>
          <w:szCs w:val="32"/>
        </w:rPr>
        <w:tab/>
      </w:r>
      <w:r>
        <w:rPr>
          <w:rFonts w:hint="eastAsia" w:ascii="仿宋" w:hAnsi="仿宋" w:eastAsia="仿宋" w:cs="仿宋"/>
          <w:sz w:val="32"/>
          <w:szCs w:val="32"/>
        </w:rPr>
        <w:t>1</w:t>
      </w:r>
      <w:r>
        <w:rPr>
          <w:rFonts w:hint="eastAsia" w:ascii="仿宋" w:hAnsi="仿宋" w:eastAsia="仿宋" w:cs="仿宋"/>
          <w:sz w:val="32"/>
          <w:szCs w:val="32"/>
          <w:lang w:val="en-US" w:eastAsia="zh-CN"/>
        </w:rPr>
        <w:t>4</w:t>
      </w:r>
    </w:p>
    <w:p>
      <w:pPr>
        <w:pStyle w:val="17"/>
        <w:keepNext w:val="0"/>
        <w:keepLines w:val="0"/>
        <w:pageBreakBefore w:val="0"/>
        <w:tabs>
          <w:tab w:val="right" w:leader="dot" w:pos="8306"/>
        </w:tabs>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ascii="黑体" w:hAnsi="ˎ̥"/>
          <w:b/>
          <w:sz w:val="32"/>
          <w:szCs w:val="32"/>
        </w:rPr>
      </w:pPr>
      <w:r>
        <w:rPr>
          <w:sz w:val="32"/>
          <w:szCs w:val="32"/>
        </w:rPr>
        <w:fldChar w:fldCharType="begin"/>
      </w:r>
      <w:r>
        <w:rPr>
          <w:sz w:val="32"/>
          <w:szCs w:val="32"/>
        </w:rPr>
        <w:instrText xml:space="preserve"> HYPERLINK \l _Toc15425_WPSOffice_Level1 </w:instrText>
      </w:r>
      <w:r>
        <w:rPr>
          <w:sz w:val="32"/>
          <w:szCs w:val="32"/>
        </w:rPr>
        <w:fldChar w:fldCharType="separate"/>
      </w:r>
      <w:r>
        <w:rPr>
          <w:rFonts w:hint="eastAsia" w:ascii="黑体" w:hAnsi="ˎ̥" w:eastAsia="黑体"/>
          <w:sz w:val="32"/>
          <w:szCs w:val="32"/>
        </w:rPr>
        <w:t>第四部分  名词解释</w:t>
      </w:r>
      <w:r>
        <w:rPr>
          <w:sz w:val="32"/>
          <w:szCs w:val="32"/>
        </w:rPr>
        <w:tab/>
      </w:r>
      <w:bookmarkStart w:id="1" w:name="_Toc15425_WPSOffice_Level1Page"/>
      <w:r>
        <w:rPr>
          <w:sz w:val="32"/>
          <w:szCs w:val="32"/>
        </w:rPr>
        <w:t>1</w:t>
      </w:r>
      <w:bookmarkEnd w:id="1"/>
      <w:r>
        <w:rPr>
          <w:sz w:val="32"/>
          <w:szCs w:val="32"/>
        </w:rPr>
        <w:fldChar w:fldCharType="end"/>
      </w:r>
      <w:bookmarkEnd w:id="0"/>
      <w:r>
        <w:rPr>
          <w:rFonts w:hint="eastAsia"/>
          <w:b w:val="0"/>
          <w:bCs w:val="0"/>
          <w:sz w:val="32"/>
          <w:szCs w:val="32"/>
          <w:lang w:val="en-US" w:eastAsia="zh-CN"/>
        </w:rPr>
        <w:t>5</w:t>
      </w:r>
    </w:p>
    <w:p>
      <w:pPr>
        <w:keepNext w:val="0"/>
        <w:keepLines w:val="0"/>
        <w:pageBreakBefore w:val="0"/>
        <w:widowControl w:val="0"/>
        <w:kinsoku/>
        <w:wordWrap/>
        <w:overflowPunct/>
        <w:topLinePunct w:val="0"/>
        <w:autoSpaceDE/>
        <w:autoSpaceDN/>
        <w:bidi w:val="0"/>
        <w:adjustRightInd/>
        <w:snapToGrid/>
        <w:spacing w:line="586" w:lineRule="exact"/>
        <w:ind w:right="0" w:rightChars="0"/>
        <w:jc w:val="center"/>
        <w:textAlignment w:val="auto"/>
        <w:rPr>
          <w:rFonts w:hint="eastAsia" w:ascii="黑体" w:hAnsi="ˎ̥" w:eastAsia="黑体"/>
          <w:sz w:val="32"/>
          <w:szCs w:val="32"/>
        </w:rPr>
      </w:pPr>
      <w:bookmarkStart w:id="2" w:name="_Toc10049_WPSOffice_Level1"/>
      <w:bookmarkStart w:id="3" w:name="_Toc23465_WPSOffice_Level1"/>
      <w:bookmarkStart w:id="4" w:name="_Toc10720_WPSOffice_Level1"/>
      <w:bookmarkStart w:id="5" w:name="_Toc32433_WPSOffice_Level1"/>
      <w:bookmarkStart w:id="6" w:name="_Toc22941_WPSOffice_Level1"/>
      <w:bookmarkStart w:id="7" w:name="_Toc1704_WPSOffice_Level1"/>
      <w:bookmarkStart w:id="8" w:name="_Toc24238_WPSOffice_Level2"/>
      <w:bookmarkStart w:id="9" w:name="_Toc14159_WPSOffice_Level2"/>
      <w:bookmarkStart w:id="10" w:name="_Toc20274_WPSOffice_Level2"/>
      <w:bookmarkStart w:id="11" w:name="_Toc32622_WPSOffice_Level2"/>
      <w:bookmarkStart w:id="12" w:name="_Toc20205_WPSOffice_Level2"/>
      <w:bookmarkStart w:id="13" w:name="_Toc26580_WPSOffice_Level2"/>
      <w:r>
        <w:rPr>
          <w:rFonts w:hint="eastAsia" w:ascii="黑体" w:hAnsi="ˎ̥" w:eastAsia="黑体"/>
          <w:sz w:val="32"/>
          <w:szCs w:val="32"/>
        </w:rPr>
        <w:t xml:space="preserve">第一部分  </w:t>
      </w:r>
      <w:bookmarkEnd w:id="2"/>
      <w:bookmarkEnd w:id="3"/>
      <w:bookmarkEnd w:id="4"/>
      <w:bookmarkEnd w:id="5"/>
      <w:bookmarkEnd w:id="6"/>
      <w:bookmarkEnd w:id="7"/>
      <w:r>
        <w:rPr>
          <w:rFonts w:hint="eastAsia" w:ascii="黑体" w:hAnsi="ˎ̥" w:eastAsia="黑体"/>
          <w:sz w:val="32"/>
          <w:szCs w:val="32"/>
        </w:rPr>
        <w:t>基本情况</w:t>
      </w:r>
    </w:p>
    <w:p>
      <w:pPr>
        <w:keepNext w:val="0"/>
        <w:keepLines w:val="0"/>
        <w:pageBreakBefore w:val="0"/>
        <w:widowControl w:val="0"/>
        <w:kinsoku/>
        <w:wordWrap/>
        <w:overflowPunct/>
        <w:topLinePunct w:val="0"/>
        <w:autoSpaceDE/>
        <w:autoSpaceDN/>
        <w:bidi w:val="0"/>
        <w:adjustRightInd/>
        <w:snapToGrid/>
        <w:spacing w:line="586" w:lineRule="exact"/>
        <w:ind w:right="0" w:rightChars="0" w:firstLine="640" w:firstLineChars="200"/>
        <w:textAlignment w:val="auto"/>
        <w:rPr>
          <w:rFonts w:hint="eastAsia" w:ascii="楷体" w:hAnsi="楷体" w:eastAsia="楷体" w:cs="楷体"/>
          <w:sz w:val="32"/>
          <w:szCs w:val="32"/>
        </w:rPr>
      </w:pP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right="0" w:righ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部门</w:t>
      </w:r>
      <w:bookmarkEnd w:id="8"/>
      <w:r>
        <w:rPr>
          <w:rFonts w:hint="eastAsia" w:ascii="黑体" w:hAnsi="黑体" w:eastAsia="黑体" w:cs="黑体"/>
          <w:sz w:val="32"/>
          <w:szCs w:val="32"/>
        </w:rPr>
        <w:t>（单位）职责</w:t>
      </w:r>
      <w:bookmarkEnd w:id="9"/>
      <w:bookmarkEnd w:id="10"/>
      <w:bookmarkEnd w:id="11"/>
      <w:bookmarkEnd w:id="12"/>
      <w:bookmarkEnd w:id="13"/>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三亚市公安局凤凰机场</w:t>
      </w:r>
      <w:r>
        <w:rPr>
          <w:rFonts w:hint="eastAsia" w:ascii="仿宋_GB2312" w:hAnsi="仿宋_GB2312" w:eastAsia="仿宋_GB2312" w:cs="仿宋_GB2312"/>
          <w:sz w:val="32"/>
          <w:szCs w:val="32"/>
          <w:lang w:eastAsia="zh-CN"/>
        </w:rPr>
        <w:t>公安</w:t>
      </w:r>
      <w:r>
        <w:rPr>
          <w:rFonts w:hint="eastAsia" w:ascii="仿宋_GB2312" w:hAnsi="仿宋_GB2312" w:eastAsia="仿宋_GB2312" w:cs="仿宋_GB2312"/>
          <w:sz w:val="32"/>
          <w:szCs w:val="32"/>
        </w:rPr>
        <w:t>局,是司法行政工作部门，围绕“保空防安全、促机场发展，为旅客服务”的工作目标，专注于维护机场的秩序和安全，包括旅客安全、航班安全以及机场设施</w:t>
      </w:r>
      <w:r>
        <w:rPr>
          <w:rFonts w:hint="eastAsia" w:ascii="仿宋_GB2312" w:hAnsi="仿宋_GB2312" w:eastAsia="仿宋_GB2312" w:cs="仿宋_GB2312"/>
          <w:sz w:val="32"/>
          <w:szCs w:val="32"/>
          <w:lang w:eastAsia="zh-CN"/>
        </w:rPr>
        <w:t>运转</w:t>
      </w:r>
      <w:r>
        <w:rPr>
          <w:rFonts w:hint="eastAsia" w:ascii="仿宋_GB2312" w:hAnsi="仿宋_GB2312" w:eastAsia="仿宋_GB2312" w:cs="仿宋_GB2312"/>
          <w:sz w:val="32"/>
          <w:szCs w:val="32"/>
        </w:rPr>
        <w:t>安全等。其主要职责是：</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）维护辖区内治安秩序，预防和处置各种治安</w:t>
      </w:r>
      <w:r>
        <w:rPr>
          <w:rFonts w:hint="eastAsia" w:ascii="仿宋_GB2312" w:hAnsi="仿宋_GB2312" w:eastAsia="仿宋_GB2312" w:cs="仿宋_GB2312"/>
          <w:sz w:val="32"/>
          <w:szCs w:val="32"/>
          <w:lang w:eastAsia="zh-CN"/>
        </w:rPr>
        <w:t>灾</w:t>
      </w:r>
      <w:r>
        <w:rPr>
          <w:rFonts w:hint="eastAsia" w:ascii="仿宋_GB2312" w:hAnsi="仿宋_GB2312" w:eastAsia="仿宋_GB2312" w:cs="仿宋_GB2312"/>
          <w:sz w:val="32"/>
          <w:szCs w:val="32"/>
        </w:rPr>
        <w:t>害事故；</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 xml:space="preserve">）负责空防安全工作，预防和处置劫机、炸机等突发事件，保障飞行安全和控制区证件的审核、制作、发放； </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）负责打击辖区内的走私、贩私贩毒等犯罪活动；</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）预防和减少刑事案件发生，侦破区域内的刑事案件和危害国家安全、间谍、特务案件，监视掌握辖区内的敌社情，严厉打击刑事犯罪分子的破坏活动；</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）维护机场内交通秩序，预防和查处交通事故，管理辖区内的车辆和道路交通设施；</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）负责辖区内的消防管理，建审工作，预防和查处火灾事故；</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）负责法制工作，加强法制监督；</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）承办三亚市委、市政府和上级部门交办的其他事项。</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rPr>
          <w:rFonts w:hint="eastAsia" w:ascii="黑体" w:hAnsi="黑体" w:eastAsia="黑体" w:cs="黑体"/>
          <w:sz w:val="32"/>
          <w:szCs w:val="32"/>
        </w:rPr>
      </w:pPr>
      <w:bookmarkStart w:id="14" w:name="_Toc17796_WPSOffice_Level2"/>
      <w:bookmarkStart w:id="15" w:name="_Toc6572_WPSOffice_Level2"/>
      <w:bookmarkStart w:id="16" w:name="_Toc4833_WPSOffice_Level2"/>
      <w:bookmarkStart w:id="17" w:name="_Toc24474_WPSOffice_Level2"/>
      <w:bookmarkStart w:id="18" w:name="_Toc24059_WPSOffice_Level2"/>
      <w:r>
        <w:rPr>
          <w:rFonts w:hint="eastAsia" w:ascii="黑体" w:hAnsi="黑体" w:eastAsia="黑体" w:cs="黑体"/>
          <w:sz w:val="32"/>
          <w:szCs w:val="32"/>
        </w:rPr>
        <w:t>二、机构设置</w:t>
      </w:r>
      <w:bookmarkEnd w:id="14"/>
      <w:bookmarkEnd w:id="15"/>
      <w:bookmarkEnd w:id="16"/>
      <w:bookmarkEnd w:id="17"/>
      <w:bookmarkEnd w:id="18"/>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000000"/>
          <w:sz w:val="32"/>
          <w:szCs w:val="32"/>
          <w:highlight w:val="none"/>
          <w:lang w:eastAsia="zh-CN"/>
        </w:rPr>
      </w:pPr>
      <w:bookmarkStart w:id="19" w:name="_Toc15521_WPSOffice_Level1"/>
      <w:bookmarkStart w:id="20" w:name="_Toc30690_WPSOffice_Level1"/>
      <w:bookmarkStart w:id="21" w:name="_Toc8164_WPSOffice_Level1"/>
      <w:bookmarkStart w:id="22" w:name="_Toc30451_WPSOffice_Level1"/>
      <w:bookmarkStart w:id="23" w:name="_Toc6234_WPSOffice_Level1"/>
      <w:bookmarkStart w:id="24" w:name="_Toc28253_WPSOffice_Level1"/>
      <w:bookmarkStart w:id="25" w:name="_Toc11518_WPSOffice_Level2"/>
      <w:bookmarkStart w:id="26" w:name="_Toc32695_WPSOffice_Level2"/>
      <w:bookmarkStart w:id="27" w:name="_Toc6211_WPSOffice_Level2"/>
      <w:bookmarkStart w:id="28" w:name="_Toc32472_WPSOffice_Level2"/>
      <w:bookmarkStart w:id="29" w:name="_Toc8867_WPSOffice_Level2"/>
      <w:bookmarkStart w:id="30" w:name="_Toc4029_WPSOffice_Level2"/>
      <w:r>
        <w:rPr>
          <w:rFonts w:hint="eastAsia" w:ascii="仿宋_GB2312" w:hAnsi="仿宋_GB2312" w:eastAsia="仿宋_GB2312" w:cs="仿宋_GB2312"/>
          <w:color w:val="000000"/>
          <w:sz w:val="32"/>
          <w:szCs w:val="32"/>
          <w:highlight w:val="none"/>
        </w:rPr>
        <w:t>纳入三亚公安局凤凰机场分局202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szCs w:val="32"/>
          <w:highlight w:val="none"/>
        </w:rPr>
        <w:t>年度部门决算编制范围的内设机构为1</w:t>
      </w:r>
      <w:r>
        <w:rPr>
          <w:rFonts w:hint="eastAsia" w:ascii="仿宋_GB2312" w:hAnsi="仿宋_GB2312" w:eastAsia="仿宋_GB2312" w:cs="仿宋_GB2312"/>
          <w:color w:val="000000"/>
          <w:sz w:val="32"/>
          <w:szCs w:val="32"/>
          <w:highlight w:val="none"/>
          <w:lang w:val="en-US" w:eastAsia="zh-CN"/>
        </w:rPr>
        <w:t>1</w:t>
      </w:r>
      <w:r>
        <w:rPr>
          <w:rFonts w:hint="eastAsia" w:ascii="仿宋_GB2312" w:hAnsi="仿宋_GB2312" w:eastAsia="仿宋_GB2312" w:cs="仿宋_GB2312"/>
          <w:color w:val="000000"/>
          <w:sz w:val="32"/>
          <w:szCs w:val="32"/>
          <w:highlight w:val="none"/>
        </w:rPr>
        <w:t>个，包括：</w:t>
      </w:r>
      <w:r>
        <w:rPr>
          <w:rFonts w:hint="eastAsia" w:ascii="仿宋_GB2312" w:hAnsi="仿宋_GB2312" w:eastAsia="仿宋_GB2312" w:cs="仿宋_GB2312"/>
          <w:color w:val="000000"/>
          <w:sz w:val="32"/>
          <w:szCs w:val="32"/>
          <w:highlight w:val="none"/>
          <w:lang w:eastAsia="zh-CN"/>
        </w:rPr>
        <w:t>局领导、</w:t>
      </w:r>
      <w:r>
        <w:rPr>
          <w:rFonts w:hint="eastAsia" w:ascii="仿宋_GB2312" w:hAnsi="仿宋_GB2312" w:eastAsia="仿宋_GB2312" w:cs="仿宋_GB2312"/>
          <w:color w:val="000000"/>
          <w:sz w:val="32"/>
          <w:szCs w:val="32"/>
          <w:highlight w:val="none"/>
        </w:rPr>
        <w:t>政</w:t>
      </w:r>
      <w:r>
        <w:rPr>
          <w:rFonts w:hint="eastAsia" w:ascii="仿宋_GB2312" w:hAnsi="仿宋_GB2312" w:eastAsia="仿宋_GB2312" w:cs="仿宋_GB2312"/>
          <w:color w:val="000000"/>
          <w:sz w:val="32"/>
          <w:szCs w:val="32"/>
          <w:highlight w:val="none"/>
          <w:lang w:eastAsia="zh-CN"/>
        </w:rPr>
        <w:t>工室</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eastAsia="zh-CN"/>
        </w:rPr>
        <w:t>警务保障室</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eastAsia="zh-CN"/>
        </w:rPr>
        <w:t>情报</w:t>
      </w:r>
      <w:r>
        <w:rPr>
          <w:rFonts w:hint="eastAsia" w:ascii="仿宋_GB2312" w:hAnsi="仿宋_GB2312" w:eastAsia="仿宋_GB2312" w:cs="仿宋_GB2312"/>
          <w:color w:val="000000"/>
          <w:sz w:val="32"/>
          <w:szCs w:val="32"/>
          <w:highlight w:val="none"/>
        </w:rPr>
        <w:t>指挥中心、机场派出所、候机楼派出所、交巡</w:t>
      </w:r>
      <w:r>
        <w:rPr>
          <w:rFonts w:hint="eastAsia" w:ascii="仿宋_GB2312" w:hAnsi="仿宋_GB2312" w:eastAsia="仿宋_GB2312" w:cs="仿宋_GB2312"/>
          <w:color w:val="000000"/>
          <w:sz w:val="32"/>
          <w:szCs w:val="32"/>
          <w:highlight w:val="none"/>
          <w:lang w:eastAsia="zh-CN"/>
        </w:rPr>
        <w:t>特</w:t>
      </w:r>
      <w:r>
        <w:rPr>
          <w:rFonts w:hint="eastAsia" w:ascii="仿宋_GB2312" w:hAnsi="仿宋_GB2312" w:eastAsia="仿宋_GB2312" w:cs="仿宋_GB2312"/>
          <w:color w:val="000000"/>
          <w:sz w:val="32"/>
          <w:szCs w:val="32"/>
          <w:highlight w:val="none"/>
        </w:rPr>
        <w:t>警大队、</w:t>
      </w:r>
      <w:r>
        <w:rPr>
          <w:rFonts w:hint="eastAsia" w:ascii="仿宋_GB2312" w:hAnsi="仿宋_GB2312" w:eastAsia="仿宋_GB2312" w:cs="仿宋_GB2312"/>
          <w:color w:val="000000"/>
          <w:sz w:val="32"/>
          <w:szCs w:val="32"/>
          <w:highlight w:val="none"/>
          <w:lang w:eastAsia="zh-CN"/>
        </w:rPr>
        <w:t>刑事侦查</w:t>
      </w:r>
      <w:r>
        <w:rPr>
          <w:rFonts w:hint="eastAsia" w:ascii="仿宋_GB2312" w:hAnsi="仿宋_GB2312" w:eastAsia="仿宋_GB2312" w:cs="仿宋_GB2312"/>
          <w:color w:val="000000"/>
          <w:sz w:val="32"/>
          <w:szCs w:val="32"/>
          <w:highlight w:val="none"/>
        </w:rPr>
        <w:t>大队、空防</w:t>
      </w:r>
      <w:r>
        <w:rPr>
          <w:rFonts w:hint="eastAsia" w:ascii="仿宋_GB2312" w:hAnsi="仿宋_GB2312" w:eastAsia="仿宋_GB2312" w:cs="仿宋_GB2312"/>
          <w:color w:val="000000"/>
          <w:sz w:val="32"/>
          <w:szCs w:val="32"/>
          <w:highlight w:val="none"/>
          <w:lang w:eastAsia="zh-CN"/>
        </w:rPr>
        <w:t>大队</w:t>
      </w:r>
      <w:r>
        <w:rPr>
          <w:rFonts w:hint="eastAsia" w:ascii="仿宋_GB2312" w:hAnsi="仿宋_GB2312" w:eastAsia="仿宋_GB2312" w:cs="仿宋_GB2312"/>
          <w:color w:val="000000"/>
          <w:sz w:val="32"/>
          <w:szCs w:val="32"/>
          <w:highlight w:val="none"/>
        </w:rPr>
        <w:t>、法制</w:t>
      </w:r>
      <w:r>
        <w:rPr>
          <w:rFonts w:hint="eastAsia" w:ascii="仿宋_GB2312" w:hAnsi="仿宋_GB2312" w:eastAsia="仿宋_GB2312" w:cs="仿宋_GB2312"/>
          <w:color w:val="000000"/>
          <w:sz w:val="32"/>
          <w:szCs w:val="32"/>
          <w:highlight w:val="none"/>
          <w:lang w:eastAsia="zh-CN"/>
        </w:rPr>
        <w:t>大队</w:t>
      </w:r>
      <w:r>
        <w:rPr>
          <w:rFonts w:hint="eastAsia" w:ascii="仿宋_GB2312" w:hAnsi="仿宋_GB2312" w:eastAsia="仿宋_GB2312" w:cs="仿宋_GB2312"/>
          <w:color w:val="000000"/>
          <w:sz w:val="32"/>
          <w:szCs w:val="32"/>
          <w:highlight w:val="none"/>
        </w:rPr>
        <w:t>、治安</w:t>
      </w:r>
      <w:r>
        <w:rPr>
          <w:rFonts w:hint="eastAsia" w:ascii="仿宋_GB2312" w:hAnsi="仿宋_GB2312" w:eastAsia="仿宋_GB2312" w:cs="仿宋_GB2312"/>
          <w:color w:val="000000"/>
          <w:sz w:val="32"/>
          <w:szCs w:val="32"/>
          <w:highlight w:val="none"/>
          <w:lang w:eastAsia="zh-CN"/>
        </w:rPr>
        <w:t>管理</w:t>
      </w:r>
      <w:r>
        <w:rPr>
          <w:rFonts w:hint="eastAsia" w:ascii="仿宋_GB2312" w:hAnsi="仿宋_GB2312" w:eastAsia="仿宋_GB2312" w:cs="仿宋_GB2312"/>
          <w:color w:val="000000"/>
          <w:sz w:val="32"/>
          <w:szCs w:val="32"/>
          <w:highlight w:val="none"/>
        </w:rPr>
        <w:t>大队</w:t>
      </w:r>
      <w:r>
        <w:rPr>
          <w:rFonts w:hint="eastAsia" w:ascii="仿宋_GB2312" w:hAnsi="仿宋_GB2312" w:eastAsia="仿宋_GB2312" w:cs="仿宋_GB2312"/>
          <w:color w:val="000000"/>
          <w:sz w:val="32"/>
          <w:szCs w:val="32"/>
          <w:highlight w:val="none"/>
          <w:lang w:eastAsia="zh-CN"/>
        </w:rPr>
        <w:t>。</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420" w:firstLineChars="200"/>
        <w:jc w:val="both"/>
        <w:textAlignment w:val="auto"/>
        <w:outlineLvl w:val="9"/>
        <w:rPr>
          <w:rFonts w:hint="eastAsia"/>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rPr>
          <w:rFonts w:hint="eastAsia" w:ascii="黑体" w:hAnsi="ˎ̥" w:eastAsia="黑体"/>
          <w:sz w:val="32"/>
          <w:szCs w:val="32"/>
        </w:rPr>
      </w:pPr>
      <w:r>
        <w:rPr>
          <w:rFonts w:hint="eastAsia" w:ascii="黑体" w:hAnsi="ˎ̥" w:eastAsia="黑体"/>
          <w:sz w:val="32"/>
          <w:szCs w:val="32"/>
        </w:rPr>
        <w:t xml:space="preserve">第二部分  </w:t>
      </w:r>
      <w:r>
        <w:rPr>
          <w:rFonts w:hint="default" w:ascii="黑体" w:hAnsi="ˎ̥" w:eastAsia="黑体"/>
          <w:sz w:val="32"/>
          <w:szCs w:val="32"/>
          <w:lang w:val="en-US"/>
        </w:rPr>
        <w:t>2025</w:t>
      </w:r>
      <w:r>
        <w:rPr>
          <w:rFonts w:hint="eastAsia" w:ascii="黑体" w:hAnsi="ˎ̥" w:eastAsia="黑体"/>
          <w:sz w:val="32"/>
          <w:szCs w:val="32"/>
        </w:rPr>
        <w:t>年度部门决算公开报表</w:t>
      </w:r>
      <w:bookmarkEnd w:id="19"/>
      <w:bookmarkEnd w:id="20"/>
      <w:bookmarkEnd w:id="21"/>
      <w:bookmarkEnd w:id="22"/>
      <w:bookmarkEnd w:id="23"/>
      <w:bookmarkEnd w:id="24"/>
    </w:p>
    <w:p>
      <w:pPr>
        <w:keepNext w:val="0"/>
        <w:keepLines w:val="0"/>
        <w:pageBreakBefore w:val="0"/>
        <w:widowControl w:val="0"/>
        <w:kinsoku/>
        <w:wordWrap/>
        <w:overflowPunct/>
        <w:topLinePunct w:val="0"/>
        <w:autoSpaceDE/>
        <w:autoSpaceDN/>
        <w:bidi w:val="0"/>
        <w:adjustRightInd/>
        <w:snapToGrid/>
        <w:spacing w:line="600" w:lineRule="exact"/>
        <w:ind w:right="0" w:rightChars="0" w:firstLine="645"/>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5"/>
        <w:textAlignment w:val="auto"/>
        <w:rPr>
          <w:rFonts w:hint="eastAsia" w:ascii="黑体" w:hAnsi="黑体" w:eastAsia="黑体" w:cs="黑体"/>
          <w:sz w:val="32"/>
          <w:szCs w:val="32"/>
        </w:rPr>
      </w:pPr>
      <w:r>
        <w:rPr>
          <w:rFonts w:hint="eastAsia" w:ascii="黑体" w:hAnsi="黑体" w:eastAsia="黑体" w:cs="黑体"/>
          <w:sz w:val="32"/>
          <w:szCs w:val="32"/>
        </w:rPr>
        <w:t>一、收入支出决算公开表</w:t>
      </w:r>
      <w:bookmarkEnd w:id="25"/>
      <w:bookmarkEnd w:id="26"/>
      <w:bookmarkEnd w:id="27"/>
      <w:bookmarkEnd w:id="28"/>
      <w:bookmarkEnd w:id="29"/>
      <w:bookmarkEnd w:id="30"/>
    </w:p>
    <w:p>
      <w:pPr>
        <w:keepNext w:val="0"/>
        <w:keepLines w:val="0"/>
        <w:pageBreakBefore w:val="0"/>
        <w:widowControl w:val="0"/>
        <w:kinsoku/>
        <w:wordWrap/>
        <w:overflowPunct/>
        <w:topLinePunct w:val="0"/>
        <w:autoSpaceDE/>
        <w:autoSpaceDN/>
        <w:bidi w:val="0"/>
        <w:adjustRightInd/>
        <w:snapToGrid/>
        <w:spacing w:line="600" w:lineRule="exact"/>
        <w:ind w:right="0" w:rightChars="0" w:firstLine="645"/>
        <w:textAlignment w:val="auto"/>
        <w:rPr>
          <w:rFonts w:hint="eastAsia" w:ascii="黑体" w:hAnsi="黑体" w:eastAsia="黑体" w:cs="黑体"/>
          <w:sz w:val="32"/>
          <w:szCs w:val="32"/>
        </w:rPr>
      </w:pPr>
      <w:bookmarkStart w:id="31" w:name="_Toc28622_WPSOffice_Level2"/>
      <w:bookmarkStart w:id="32" w:name="_Toc23139_WPSOffice_Level2"/>
      <w:bookmarkStart w:id="33" w:name="_Toc14349_WPSOffice_Level2"/>
      <w:bookmarkStart w:id="34" w:name="_Toc25608_WPSOffice_Level2"/>
      <w:bookmarkStart w:id="35" w:name="_Toc30334_WPSOffice_Level2"/>
      <w:bookmarkStart w:id="36" w:name="_Toc26621_WPSOffice_Level2"/>
      <w:r>
        <w:rPr>
          <w:rFonts w:hint="eastAsia" w:ascii="黑体" w:hAnsi="黑体" w:eastAsia="黑体" w:cs="黑体"/>
          <w:sz w:val="32"/>
          <w:szCs w:val="32"/>
        </w:rPr>
        <w:t>二、收入决算公开表</w:t>
      </w:r>
      <w:bookmarkEnd w:id="31"/>
      <w:bookmarkEnd w:id="32"/>
      <w:bookmarkEnd w:id="33"/>
      <w:bookmarkEnd w:id="34"/>
      <w:bookmarkEnd w:id="35"/>
      <w:bookmarkEnd w:id="36"/>
      <w:bookmarkStart w:id="37" w:name="_Toc17858_WPSOffice_Level2"/>
      <w:bookmarkStart w:id="38" w:name="_Toc17626_WPSOffice_Level2"/>
      <w:bookmarkStart w:id="39" w:name="_Toc13854_WPSOffice_Level2"/>
      <w:bookmarkStart w:id="40" w:name="_Toc14658_WPSOffice_Level2"/>
      <w:bookmarkStart w:id="41" w:name="_Toc3262_WPSOffice_Level2"/>
      <w:bookmarkStart w:id="42" w:name="_Toc5489_WPSOffice_Level2"/>
    </w:p>
    <w:p>
      <w:pPr>
        <w:keepNext w:val="0"/>
        <w:keepLines w:val="0"/>
        <w:pageBreakBefore w:val="0"/>
        <w:widowControl w:val="0"/>
        <w:kinsoku/>
        <w:wordWrap/>
        <w:overflowPunct/>
        <w:topLinePunct w:val="0"/>
        <w:autoSpaceDE/>
        <w:autoSpaceDN/>
        <w:bidi w:val="0"/>
        <w:adjustRightInd/>
        <w:snapToGrid/>
        <w:spacing w:line="600" w:lineRule="exact"/>
        <w:ind w:right="0" w:rightChars="0" w:firstLine="645"/>
        <w:textAlignment w:val="auto"/>
        <w:rPr>
          <w:rFonts w:hint="eastAsia" w:ascii="黑体" w:hAnsi="黑体" w:eastAsia="黑体" w:cs="黑体"/>
          <w:sz w:val="32"/>
          <w:szCs w:val="32"/>
        </w:rPr>
      </w:pPr>
      <w:r>
        <w:rPr>
          <w:rFonts w:hint="eastAsia" w:ascii="黑体" w:hAnsi="黑体" w:eastAsia="黑体" w:cs="黑体"/>
          <w:sz w:val="32"/>
          <w:szCs w:val="32"/>
        </w:rPr>
        <w:t>三、支出决算公开表</w:t>
      </w:r>
      <w:bookmarkEnd w:id="37"/>
      <w:bookmarkEnd w:id="38"/>
      <w:bookmarkEnd w:id="39"/>
      <w:bookmarkEnd w:id="40"/>
      <w:bookmarkEnd w:id="41"/>
      <w:bookmarkEnd w:id="42"/>
      <w:bookmarkStart w:id="43" w:name="_Toc23591_WPSOffice_Level2"/>
      <w:bookmarkStart w:id="44" w:name="_Toc7988_WPSOffice_Level2"/>
      <w:bookmarkStart w:id="45" w:name="_Toc4265_WPSOffice_Level2"/>
      <w:bookmarkStart w:id="46" w:name="_Toc21415_WPSOffice_Level2"/>
      <w:bookmarkStart w:id="47" w:name="_Toc23493_WPSOffice_Level2"/>
      <w:bookmarkStart w:id="48" w:name="_Toc13701_WPSOffice_Level2"/>
    </w:p>
    <w:p>
      <w:pPr>
        <w:keepNext w:val="0"/>
        <w:keepLines w:val="0"/>
        <w:pageBreakBefore w:val="0"/>
        <w:widowControl w:val="0"/>
        <w:kinsoku/>
        <w:wordWrap/>
        <w:overflowPunct/>
        <w:topLinePunct w:val="0"/>
        <w:autoSpaceDE/>
        <w:autoSpaceDN/>
        <w:bidi w:val="0"/>
        <w:adjustRightInd/>
        <w:snapToGrid/>
        <w:spacing w:line="600" w:lineRule="exact"/>
        <w:ind w:right="0" w:rightChars="0" w:firstLine="645"/>
        <w:textAlignment w:val="auto"/>
        <w:rPr>
          <w:rFonts w:hint="eastAsia" w:ascii="黑体" w:hAnsi="黑体" w:eastAsia="黑体" w:cs="黑体"/>
          <w:sz w:val="32"/>
          <w:szCs w:val="32"/>
        </w:rPr>
      </w:pPr>
      <w:r>
        <w:rPr>
          <w:rFonts w:hint="eastAsia" w:ascii="黑体" w:hAnsi="黑体" w:eastAsia="黑体" w:cs="黑体"/>
          <w:sz w:val="32"/>
          <w:szCs w:val="32"/>
        </w:rPr>
        <w:t>四、财政拨款收入支出决算公开表</w:t>
      </w:r>
      <w:bookmarkEnd w:id="43"/>
      <w:bookmarkEnd w:id="44"/>
      <w:bookmarkEnd w:id="45"/>
      <w:bookmarkEnd w:id="46"/>
      <w:bookmarkEnd w:id="47"/>
      <w:bookmarkEnd w:id="48"/>
    </w:p>
    <w:p>
      <w:pPr>
        <w:keepNext w:val="0"/>
        <w:keepLines w:val="0"/>
        <w:pageBreakBefore w:val="0"/>
        <w:widowControl w:val="0"/>
        <w:kinsoku/>
        <w:wordWrap/>
        <w:overflowPunct/>
        <w:topLinePunct w:val="0"/>
        <w:autoSpaceDE/>
        <w:autoSpaceDN/>
        <w:bidi w:val="0"/>
        <w:adjustRightInd/>
        <w:snapToGrid/>
        <w:spacing w:line="600" w:lineRule="exact"/>
        <w:ind w:right="0" w:rightChars="0" w:firstLine="645"/>
        <w:textAlignment w:val="auto"/>
        <w:rPr>
          <w:rFonts w:hint="eastAsia" w:ascii="黑体" w:hAnsi="黑体" w:eastAsia="黑体" w:cs="黑体"/>
          <w:sz w:val="32"/>
          <w:szCs w:val="32"/>
        </w:rPr>
      </w:pPr>
      <w:bookmarkStart w:id="49" w:name="_Toc22783_WPSOffice_Level2"/>
      <w:bookmarkStart w:id="50" w:name="_Toc25166_WPSOffice_Level2"/>
      <w:bookmarkStart w:id="51" w:name="_Toc7879_WPSOffice_Level2"/>
      <w:bookmarkStart w:id="52" w:name="_Toc23829_WPSOffice_Level2"/>
      <w:bookmarkStart w:id="53" w:name="_Toc2158_WPSOffice_Level2"/>
      <w:bookmarkStart w:id="54" w:name="_Toc13516_WPSOffice_Level2"/>
      <w:r>
        <w:rPr>
          <w:rFonts w:hint="eastAsia" w:ascii="黑体" w:hAnsi="黑体" w:eastAsia="黑体" w:cs="黑体"/>
          <w:sz w:val="32"/>
          <w:szCs w:val="32"/>
        </w:rPr>
        <w:t>五、一般公共预算财政拨款收入支出决算</w:t>
      </w:r>
      <w:bookmarkEnd w:id="49"/>
      <w:bookmarkEnd w:id="50"/>
      <w:bookmarkEnd w:id="51"/>
      <w:bookmarkEnd w:id="52"/>
      <w:r>
        <w:rPr>
          <w:rFonts w:hint="eastAsia" w:ascii="黑体" w:hAnsi="黑体" w:eastAsia="黑体" w:cs="黑体"/>
          <w:sz w:val="32"/>
          <w:szCs w:val="32"/>
        </w:rPr>
        <w:t>公开表</w:t>
      </w:r>
      <w:bookmarkEnd w:id="53"/>
      <w:bookmarkEnd w:id="54"/>
      <w:bookmarkStart w:id="55" w:name="_Toc2632_WPSOffice_Level2"/>
      <w:bookmarkStart w:id="56" w:name="_Toc25362_WPSOffice_Level2"/>
      <w:bookmarkStart w:id="57" w:name="_Toc17283_WPSOffice_Level2"/>
      <w:bookmarkStart w:id="58" w:name="_Toc5343_WPSOffice_Level2"/>
      <w:bookmarkStart w:id="59" w:name="_Toc17833_WPSOffice_Level2"/>
      <w:bookmarkStart w:id="60" w:name="_Toc8373_WPSOffice_Level2"/>
    </w:p>
    <w:p>
      <w:pPr>
        <w:keepNext w:val="0"/>
        <w:keepLines w:val="0"/>
        <w:pageBreakBefore w:val="0"/>
        <w:widowControl w:val="0"/>
        <w:kinsoku/>
        <w:wordWrap/>
        <w:overflowPunct/>
        <w:topLinePunct w:val="0"/>
        <w:autoSpaceDE/>
        <w:autoSpaceDN/>
        <w:bidi w:val="0"/>
        <w:adjustRightInd/>
        <w:snapToGrid/>
        <w:spacing w:line="600" w:lineRule="exact"/>
        <w:ind w:right="0" w:rightChars="0" w:firstLine="645"/>
        <w:textAlignment w:val="auto"/>
        <w:rPr>
          <w:rFonts w:hint="eastAsia" w:ascii="黑体" w:hAnsi="黑体" w:eastAsia="黑体" w:cs="黑体"/>
          <w:sz w:val="32"/>
          <w:szCs w:val="32"/>
        </w:rPr>
      </w:pPr>
      <w:r>
        <w:rPr>
          <w:rFonts w:hint="eastAsia" w:ascii="黑体" w:hAnsi="黑体" w:eastAsia="黑体" w:cs="黑体"/>
          <w:sz w:val="32"/>
          <w:szCs w:val="32"/>
        </w:rPr>
        <w:t>六、一般公共预算财政拨款基本支出决算</w:t>
      </w:r>
      <w:bookmarkEnd w:id="55"/>
      <w:bookmarkEnd w:id="56"/>
      <w:bookmarkEnd w:id="57"/>
      <w:bookmarkEnd w:id="58"/>
      <w:bookmarkEnd w:id="59"/>
      <w:bookmarkEnd w:id="60"/>
      <w:r>
        <w:rPr>
          <w:rFonts w:hint="eastAsia" w:ascii="黑体" w:hAnsi="黑体" w:eastAsia="黑体" w:cs="黑体"/>
          <w:sz w:val="32"/>
          <w:szCs w:val="32"/>
        </w:rPr>
        <w:t>公开表</w:t>
      </w:r>
    </w:p>
    <w:p>
      <w:pPr>
        <w:keepNext w:val="0"/>
        <w:keepLines w:val="0"/>
        <w:pageBreakBefore w:val="0"/>
        <w:widowControl w:val="0"/>
        <w:kinsoku/>
        <w:wordWrap/>
        <w:overflowPunct/>
        <w:topLinePunct w:val="0"/>
        <w:autoSpaceDE/>
        <w:autoSpaceDN/>
        <w:bidi w:val="0"/>
        <w:adjustRightInd/>
        <w:snapToGrid/>
        <w:spacing w:line="600" w:lineRule="exact"/>
        <w:ind w:left="1118" w:leftChars="304" w:right="0" w:rightChars="0" w:hanging="480" w:hangingChars="150"/>
        <w:textAlignment w:val="auto"/>
        <w:rPr>
          <w:rFonts w:hint="eastAsia" w:ascii="黑体" w:hAnsi="黑体" w:eastAsia="黑体" w:cs="黑体"/>
          <w:sz w:val="32"/>
          <w:szCs w:val="32"/>
        </w:rPr>
      </w:pPr>
      <w:bookmarkStart w:id="61" w:name="_Toc21310_WPSOffice_Level2"/>
      <w:bookmarkStart w:id="62" w:name="_Toc6020_WPSOffice_Level2"/>
      <w:bookmarkStart w:id="63" w:name="_Toc11799_WPSOffice_Level2"/>
      <w:bookmarkStart w:id="64" w:name="_Toc1533_WPSOffice_Level2"/>
      <w:bookmarkStart w:id="65" w:name="_Toc13345_WPSOffice_Level2"/>
      <w:bookmarkStart w:id="66" w:name="_Toc5594_WPSOffice_Level2"/>
      <w:r>
        <w:rPr>
          <w:rFonts w:hint="eastAsia" w:ascii="黑体" w:hAnsi="黑体" w:eastAsia="黑体" w:cs="黑体"/>
          <w:sz w:val="32"/>
          <w:szCs w:val="32"/>
        </w:rPr>
        <w:t>七、政府性基金预算财政拨款收入支出决算</w:t>
      </w:r>
      <w:bookmarkEnd w:id="61"/>
      <w:bookmarkEnd w:id="62"/>
      <w:bookmarkEnd w:id="63"/>
      <w:bookmarkEnd w:id="64"/>
      <w:bookmarkEnd w:id="65"/>
      <w:bookmarkEnd w:id="66"/>
      <w:r>
        <w:rPr>
          <w:rFonts w:hint="eastAsia" w:ascii="黑体" w:hAnsi="黑体" w:eastAsia="黑体" w:cs="黑体"/>
          <w:sz w:val="32"/>
          <w:szCs w:val="32"/>
        </w:rPr>
        <w:t>公开表</w:t>
      </w:r>
    </w:p>
    <w:p>
      <w:pPr>
        <w:keepNext w:val="0"/>
        <w:keepLines w:val="0"/>
        <w:pageBreakBefore w:val="0"/>
        <w:widowControl w:val="0"/>
        <w:kinsoku/>
        <w:wordWrap/>
        <w:overflowPunct/>
        <w:topLinePunct w:val="0"/>
        <w:autoSpaceDE/>
        <w:autoSpaceDN/>
        <w:bidi w:val="0"/>
        <w:adjustRightInd/>
        <w:snapToGrid/>
        <w:spacing w:line="600" w:lineRule="exact"/>
        <w:ind w:left="1118" w:leftChars="304" w:right="0" w:rightChars="0" w:hanging="480" w:hangingChars="150"/>
        <w:textAlignment w:val="auto"/>
        <w:rPr>
          <w:rFonts w:hint="eastAsia" w:ascii="黑体" w:hAnsi="黑体" w:eastAsia="黑体" w:cs="黑体"/>
          <w:sz w:val="32"/>
          <w:szCs w:val="32"/>
        </w:rPr>
      </w:pPr>
      <w:r>
        <w:rPr>
          <w:rFonts w:hint="eastAsia" w:ascii="黑体" w:hAnsi="黑体" w:eastAsia="黑体" w:cs="黑体"/>
          <w:sz w:val="32"/>
          <w:szCs w:val="32"/>
        </w:rPr>
        <w:t>八、国有资本经营预算财政拨款收入支出决算公开表</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textAlignment w:val="auto"/>
        <w:rPr>
          <w:rFonts w:hint="eastAsia" w:ascii="黑体" w:hAnsi="黑体" w:eastAsia="黑体" w:cs="黑体"/>
          <w:sz w:val="32"/>
          <w:szCs w:val="32"/>
        </w:rPr>
      </w:pPr>
      <w:bookmarkStart w:id="67" w:name="_Toc19961_WPSOffice_Level2"/>
      <w:bookmarkStart w:id="68" w:name="_Toc1820_WPSOffice_Level2"/>
      <w:bookmarkStart w:id="69" w:name="_Toc29886_WPSOffice_Level2"/>
      <w:bookmarkStart w:id="70" w:name="_Toc9377_WPSOffice_Level2"/>
      <w:r>
        <w:rPr>
          <w:rFonts w:hint="eastAsia" w:ascii="黑体" w:hAnsi="黑体" w:eastAsia="黑体" w:cs="黑体"/>
          <w:sz w:val="32"/>
          <w:szCs w:val="32"/>
        </w:rPr>
        <w:t>九、财政拨款“三公”经费支出决算</w:t>
      </w:r>
      <w:bookmarkEnd w:id="67"/>
      <w:bookmarkEnd w:id="68"/>
      <w:bookmarkEnd w:id="69"/>
      <w:bookmarkEnd w:id="70"/>
      <w:r>
        <w:rPr>
          <w:rFonts w:hint="eastAsia" w:ascii="黑体" w:hAnsi="黑体" w:eastAsia="黑体" w:cs="黑体"/>
          <w:sz w:val="32"/>
          <w:szCs w:val="32"/>
        </w:rPr>
        <w:t>公开表</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textAlignment w:val="auto"/>
        <w:rPr>
          <w:rFonts w:hint="eastAsia" w:ascii="仿宋" w:hAnsi="仿宋" w:eastAsia="仿宋" w:cs="仿宋"/>
          <w:w w:val="100"/>
          <w:sz w:val="32"/>
          <w:szCs w:val="32"/>
        </w:rPr>
      </w:pPr>
      <w:r>
        <w:rPr>
          <w:rFonts w:hint="eastAsia" w:ascii="仿宋" w:hAnsi="仿宋" w:eastAsia="仿宋" w:cs="仿宋"/>
          <w:w w:val="100"/>
          <w:sz w:val="32"/>
          <w:szCs w:val="32"/>
        </w:rPr>
        <w:t xml:space="preserve">以上报表见附件1。   </w:t>
      </w:r>
    </w:p>
    <w:p>
      <w:pPr>
        <w:keepNext w:val="0"/>
        <w:keepLines w:val="0"/>
        <w:pageBreakBefore w:val="0"/>
        <w:widowControl w:val="0"/>
        <w:kinsoku/>
        <w:wordWrap/>
        <w:overflowPunct/>
        <w:topLinePunct w:val="0"/>
        <w:autoSpaceDE/>
        <w:autoSpaceDN/>
        <w:bidi w:val="0"/>
        <w:adjustRightInd/>
        <w:snapToGrid/>
        <w:spacing w:line="600" w:lineRule="exact"/>
        <w:ind w:right="0" w:rightChars="0"/>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rPr>
          <w:rFonts w:hint="eastAsia" w:ascii="黑体" w:hAnsi="ˎ̥" w:eastAsia="黑体"/>
          <w:sz w:val="32"/>
          <w:szCs w:val="32"/>
        </w:rPr>
      </w:pPr>
      <w:bookmarkStart w:id="71" w:name="_Toc29683_WPSOffice_Level1"/>
      <w:bookmarkStart w:id="72" w:name="_Toc31264_WPSOffice_Level1"/>
      <w:bookmarkStart w:id="73" w:name="_Toc27590_WPSOffice_Level1"/>
      <w:bookmarkStart w:id="74" w:name="_Toc16686_WPSOffice_Level1"/>
      <w:bookmarkStart w:id="75" w:name="_Toc28629_WPSOffice_Level1"/>
      <w:bookmarkStart w:id="76" w:name="_Toc4402_WPSOffice_Level1"/>
      <w:r>
        <w:rPr>
          <w:rFonts w:hint="eastAsia" w:ascii="黑体" w:hAnsi="ˎ̥" w:eastAsia="黑体"/>
          <w:sz w:val="32"/>
          <w:szCs w:val="32"/>
        </w:rPr>
        <w:t xml:space="preserve">第三部分  </w:t>
      </w:r>
      <w:r>
        <w:rPr>
          <w:rFonts w:hint="default" w:ascii="黑体" w:hAnsi="ˎ̥" w:eastAsia="黑体"/>
          <w:sz w:val="32"/>
          <w:szCs w:val="32"/>
          <w:lang w:val="en-US"/>
        </w:rPr>
        <w:t>2025</w:t>
      </w:r>
      <w:r>
        <w:rPr>
          <w:rFonts w:hint="eastAsia" w:ascii="黑体" w:hAnsi="ˎ̥" w:eastAsia="黑体"/>
          <w:sz w:val="32"/>
          <w:szCs w:val="32"/>
        </w:rPr>
        <w:t>年度部门决算情况说明</w:t>
      </w:r>
      <w:bookmarkEnd w:id="71"/>
      <w:bookmarkEnd w:id="72"/>
      <w:bookmarkEnd w:id="73"/>
      <w:bookmarkEnd w:id="74"/>
      <w:bookmarkEnd w:id="75"/>
      <w:bookmarkEnd w:id="76"/>
    </w:p>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rPr>
          <w:rFonts w:hint="eastAsia" w:ascii="黑体" w:hAnsi="ˎ̥" w:eastAsia="黑体"/>
          <w:sz w:val="32"/>
          <w:szCs w:val="32"/>
        </w:rPr>
      </w:pP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right="0" w:rightChars="0"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收入支出总体情况说明</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rPr>
        <w:t>2025</w:t>
      </w:r>
      <w:r>
        <w:rPr>
          <w:rFonts w:hint="eastAsia" w:ascii="仿宋_GB2312" w:hAnsi="仿宋_GB2312" w:eastAsia="仿宋_GB2312" w:cs="仿宋_GB2312"/>
          <w:color w:val="auto"/>
          <w:sz w:val="32"/>
          <w:szCs w:val="32"/>
        </w:rPr>
        <w:t>年度收入总计</w:t>
      </w:r>
      <w:r>
        <w:rPr>
          <w:rFonts w:hint="eastAsia" w:ascii="仿宋_GB2312" w:hAnsi="仿宋_GB2312" w:eastAsia="仿宋_GB2312" w:cs="仿宋_GB2312"/>
          <w:color w:val="auto"/>
          <w:sz w:val="32"/>
          <w:szCs w:val="32"/>
          <w:lang w:val="en-US"/>
        </w:rPr>
        <w:t>3,358.09</w:t>
      </w:r>
      <w:r>
        <w:rPr>
          <w:rFonts w:hint="eastAsia" w:ascii="仿宋_GB2312" w:hAnsi="仿宋_GB2312" w:eastAsia="仿宋_GB2312" w:cs="仿宋_GB2312"/>
          <w:color w:val="auto"/>
          <w:sz w:val="32"/>
          <w:szCs w:val="32"/>
        </w:rPr>
        <w:t>万元，支出总计</w:t>
      </w:r>
      <w:r>
        <w:rPr>
          <w:rFonts w:hint="eastAsia" w:ascii="仿宋_GB2312" w:hAnsi="仿宋_GB2312" w:eastAsia="仿宋_GB2312" w:cs="仿宋_GB2312"/>
          <w:color w:val="auto"/>
          <w:sz w:val="32"/>
          <w:szCs w:val="32"/>
          <w:lang w:val="en-US"/>
        </w:rPr>
        <w:t>3,358.09</w:t>
      </w:r>
      <w:r>
        <w:rPr>
          <w:rFonts w:hint="eastAsia" w:ascii="仿宋_GB2312" w:hAnsi="仿宋_GB2312" w:eastAsia="仿宋_GB2312" w:cs="仿宋_GB2312"/>
          <w:color w:val="auto"/>
          <w:sz w:val="32"/>
          <w:szCs w:val="32"/>
        </w:rPr>
        <w:t>万元，与</w:t>
      </w:r>
      <w:r>
        <w:rPr>
          <w:rFonts w:hint="eastAsia" w:ascii="仿宋_GB2312" w:hAnsi="仿宋_GB2312" w:eastAsia="仿宋_GB2312" w:cs="仿宋_GB2312"/>
          <w:color w:val="auto"/>
          <w:sz w:val="32"/>
          <w:szCs w:val="32"/>
          <w:lang w:val="en-US"/>
        </w:rPr>
        <w:t>2024</w:t>
      </w:r>
      <w:r>
        <w:rPr>
          <w:rFonts w:hint="eastAsia" w:ascii="仿宋_GB2312" w:hAnsi="仿宋_GB2312" w:eastAsia="仿宋_GB2312" w:cs="仿宋_GB2312"/>
          <w:color w:val="auto"/>
          <w:sz w:val="32"/>
          <w:szCs w:val="32"/>
        </w:rPr>
        <w:t>年度相比，收入、支出总计各减少</w:t>
      </w:r>
      <w:r>
        <w:rPr>
          <w:rFonts w:hint="eastAsia" w:ascii="仿宋_GB2312" w:hAnsi="仿宋_GB2312" w:eastAsia="仿宋_GB2312" w:cs="仿宋_GB2312"/>
          <w:color w:val="auto"/>
          <w:sz w:val="32"/>
          <w:szCs w:val="32"/>
          <w:lang w:val="en-US" w:eastAsia="zh-CN"/>
        </w:rPr>
        <w:t>346.16</w:t>
      </w:r>
      <w:r>
        <w:rPr>
          <w:rFonts w:hint="eastAsia" w:ascii="仿宋_GB2312" w:hAnsi="仿宋_GB2312" w:eastAsia="仿宋_GB2312" w:cs="仿宋_GB2312"/>
          <w:color w:val="auto"/>
          <w:sz w:val="32"/>
          <w:szCs w:val="32"/>
        </w:rPr>
        <w:t>万元，下降</w:t>
      </w:r>
      <w:r>
        <w:rPr>
          <w:rFonts w:hint="eastAsia" w:ascii="仿宋_GB2312" w:hAnsi="仿宋_GB2312" w:eastAsia="仿宋_GB2312" w:cs="仿宋_GB2312"/>
          <w:color w:val="auto"/>
          <w:sz w:val="32"/>
          <w:szCs w:val="32"/>
          <w:lang w:val="en-US"/>
        </w:rPr>
        <w:t>9.</w:t>
      </w:r>
      <w:r>
        <w:rPr>
          <w:rFonts w:hint="eastAsia" w:ascii="仿宋_GB2312" w:hAnsi="仿宋_GB2312" w:eastAsia="仿宋_GB2312" w:cs="仿宋_GB2312"/>
          <w:color w:val="auto"/>
          <w:sz w:val="32"/>
          <w:szCs w:val="32"/>
          <w:lang w:val="en-US" w:eastAsia="zh-CN"/>
        </w:rPr>
        <w:t>34</w:t>
      </w:r>
      <w:r>
        <w:rPr>
          <w:rFonts w:hint="eastAsia" w:ascii="仿宋_GB2312" w:hAnsi="仿宋_GB2312" w:eastAsia="仿宋_GB2312" w:cs="仿宋_GB2312"/>
          <w:color w:val="auto"/>
          <w:sz w:val="32"/>
          <w:szCs w:val="32"/>
        </w:rPr>
        <w:t>%。主要原因：一是职业年金虚账在2025年度之前已完成记实，本年度职业年金支出减少；二是因备勤室项目所使用的土地是否符合农用地转用要求存在争议，权属登记未被批复，所以本年度不再申请民辅警值班备勤室项目预算经费。</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rPr>
          <w:rFonts w:ascii="楷体" w:hAnsi="楷体" w:eastAsia="楷体" w:cs="楷体"/>
          <w:sz w:val="32"/>
          <w:szCs w:val="32"/>
        </w:rPr>
      </w:pPr>
      <w:r>
        <w:rPr>
          <w:rFonts w:hint="eastAsia" w:ascii="楷体" w:hAnsi="楷体" w:eastAsia="楷体" w:cs="楷体"/>
          <w:sz w:val="32"/>
          <w:szCs w:val="32"/>
        </w:rPr>
        <w:t>（一</w:t>
      </w:r>
      <w:r>
        <w:rPr>
          <w:rFonts w:ascii="楷体" w:hAnsi="楷体" w:eastAsia="楷体" w:cs="楷体"/>
          <w:sz w:val="32"/>
          <w:szCs w:val="32"/>
        </w:rPr>
        <w:t>）</w:t>
      </w:r>
      <w:r>
        <w:rPr>
          <w:rFonts w:hint="eastAsia" w:ascii="楷体" w:hAnsi="楷体" w:eastAsia="楷体" w:cs="楷体"/>
          <w:sz w:val="32"/>
          <w:szCs w:val="32"/>
        </w:rPr>
        <w:t>收入</w:t>
      </w:r>
      <w:r>
        <w:rPr>
          <w:rFonts w:ascii="楷体" w:hAnsi="楷体" w:eastAsia="楷体" w:cs="楷体"/>
          <w:sz w:val="32"/>
          <w:szCs w:val="32"/>
        </w:rPr>
        <w:t>总计</w:t>
      </w:r>
      <w:r>
        <w:rPr>
          <w:rFonts w:hint="eastAsia" w:ascii="楷体" w:hAnsi="楷体" w:eastAsia="楷体" w:cs="楷体"/>
          <w:sz w:val="32"/>
          <w:szCs w:val="32"/>
        </w:rPr>
        <w:t>主要</w:t>
      </w:r>
      <w:r>
        <w:rPr>
          <w:rFonts w:ascii="楷体" w:hAnsi="楷体" w:eastAsia="楷体" w:cs="楷体"/>
          <w:sz w:val="32"/>
          <w:szCs w:val="32"/>
        </w:rPr>
        <w:t>构成</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本年收入</w:t>
      </w:r>
      <w:r>
        <w:rPr>
          <w:rFonts w:hint="eastAsia" w:ascii="仿宋_GB2312" w:hAnsi="仿宋_GB2312" w:eastAsia="仿宋_GB2312" w:cs="仿宋_GB2312"/>
          <w:color w:val="auto"/>
          <w:sz w:val="32"/>
          <w:szCs w:val="32"/>
          <w:lang w:val="en-US"/>
        </w:rPr>
        <w:t>3,323.40</w:t>
      </w:r>
      <w:r>
        <w:rPr>
          <w:rFonts w:hint="eastAsia" w:ascii="仿宋_GB2312" w:hAnsi="仿宋_GB2312" w:eastAsia="仿宋_GB2312" w:cs="仿宋_GB2312"/>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使用非财政拨款结余</w:t>
      </w:r>
      <w:r>
        <w:rPr>
          <w:rFonts w:hint="eastAsia" w:ascii="仿宋_GB2312" w:hAnsi="仿宋_GB2312" w:eastAsia="仿宋_GB2312" w:cs="仿宋_GB2312"/>
          <w:color w:val="auto"/>
          <w:sz w:val="32"/>
          <w:szCs w:val="32"/>
          <w:lang w:val="en-US"/>
        </w:rPr>
        <w:t>0</w:t>
      </w:r>
      <w:r>
        <w:rPr>
          <w:rFonts w:hint="eastAsia" w:ascii="仿宋_GB2312" w:hAnsi="仿宋_GB2312" w:eastAsia="仿宋_GB2312" w:cs="仿宋_GB2312"/>
          <w:color w:val="auto"/>
          <w:sz w:val="32"/>
          <w:szCs w:val="32"/>
        </w:rPr>
        <w:t>万元，较</w:t>
      </w:r>
      <w:r>
        <w:rPr>
          <w:rFonts w:hint="eastAsia" w:ascii="仿宋_GB2312" w:hAnsi="仿宋_GB2312" w:eastAsia="仿宋_GB2312" w:cs="仿宋_GB2312"/>
          <w:color w:val="auto"/>
          <w:sz w:val="32"/>
          <w:szCs w:val="32"/>
          <w:lang w:val="en-US"/>
        </w:rPr>
        <w:t>2024</w:t>
      </w:r>
      <w:r>
        <w:rPr>
          <w:rFonts w:hint="eastAsia" w:ascii="仿宋_GB2312" w:hAnsi="仿宋_GB2312" w:eastAsia="仿宋_GB2312" w:cs="仿宋_GB2312"/>
          <w:color w:val="auto"/>
          <w:sz w:val="32"/>
          <w:szCs w:val="32"/>
        </w:rPr>
        <w:t>年度决算数增加</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年初结转结余</w:t>
      </w:r>
      <w:r>
        <w:rPr>
          <w:rFonts w:hint="eastAsia" w:ascii="仿宋_GB2312" w:hAnsi="仿宋_GB2312" w:eastAsia="仿宋_GB2312" w:cs="仿宋_GB2312"/>
          <w:color w:val="auto"/>
          <w:sz w:val="32"/>
          <w:szCs w:val="32"/>
          <w:lang w:val="en-US"/>
        </w:rPr>
        <w:t>34.69</w:t>
      </w:r>
      <w:r>
        <w:rPr>
          <w:rFonts w:hint="eastAsia" w:ascii="仿宋_GB2312" w:hAnsi="仿宋_GB2312" w:eastAsia="仿宋_GB2312" w:cs="仿宋_GB2312"/>
          <w:color w:val="auto"/>
          <w:sz w:val="32"/>
          <w:szCs w:val="32"/>
        </w:rPr>
        <w:t>万元，主要是控制区通行证办理押金结转，较</w:t>
      </w:r>
      <w:r>
        <w:rPr>
          <w:rFonts w:hint="eastAsia" w:ascii="仿宋_GB2312" w:hAnsi="仿宋_GB2312" w:eastAsia="仿宋_GB2312" w:cs="仿宋_GB2312"/>
          <w:color w:val="auto"/>
          <w:sz w:val="32"/>
          <w:szCs w:val="32"/>
          <w:lang w:val="en-US"/>
        </w:rPr>
        <w:t>2024</w:t>
      </w:r>
      <w:r>
        <w:rPr>
          <w:rFonts w:hint="eastAsia" w:ascii="仿宋_GB2312" w:hAnsi="仿宋_GB2312" w:eastAsia="仿宋_GB2312" w:cs="仿宋_GB2312"/>
          <w:color w:val="auto"/>
          <w:sz w:val="32"/>
          <w:szCs w:val="32"/>
        </w:rPr>
        <w:t>年度决算数减少</w:t>
      </w:r>
      <w:r>
        <w:rPr>
          <w:rFonts w:hint="eastAsia" w:ascii="仿宋_GB2312" w:hAnsi="仿宋_GB2312" w:eastAsia="仿宋_GB2312" w:cs="仿宋_GB2312"/>
          <w:color w:val="auto"/>
          <w:sz w:val="32"/>
          <w:szCs w:val="32"/>
          <w:lang w:val="en-US" w:eastAsia="zh-CN"/>
        </w:rPr>
        <w:t>10.73</w:t>
      </w:r>
      <w:r>
        <w:rPr>
          <w:rFonts w:hint="eastAsia" w:ascii="仿宋_GB2312" w:hAnsi="仿宋_GB2312" w:eastAsia="仿宋_GB2312" w:cs="仿宋_GB2312"/>
          <w:color w:val="auto"/>
          <w:sz w:val="32"/>
          <w:szCs w:val="32"/>
        </w:rPr>
        <w:t>万元，下降</w:t>
      </w:r>
      <w:r>
        <w:rPr>
          <w:rFonts w:hint="eastAsia" w:ascii="仿宋_GB2312" w:hAnsi="仿宋_GB2312" w:eastAsia="仿宋_GB2312" w:cs="仿宋_GB2312"/>
          <w:color w:val="auto"/>
          <w:sz w:val="32"/>
          <w:szCs w:val="32"/>
          <w:lang w:val="en-US" w:eastAsia="zh-CN"/>
        </w:rPr>
        <w:t>23.62</w:t>
      </w:r>
      <w:r>
        <w:rPr>
          <w:rFonts w:hint="eastAsia" w:ascii="仿宋_GB2312" w:hAnsi="仿宋_GB2312" w:eastAsia="仿宋_GB2312" w:cs="仿宋_GB2312"/>
          <w:color w:val="auto"/>
          <w:sz w:val="32"/>
          <w:szCs w:val="32"/>
        </w:rPr>
        <w:t>%，主要原因是将2021年度天涯区政法委拨付给我局的反恐维稳经费结余上缴国库，该笔结余经费为10.73万元。</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rPr>
        <w:t>（二</w:t>
      </w:r>
      <w:r>
        <w:rPr>
          <w:rFonts w:ascii="楷体" w:hAnsi="楷体" w:eastAsia="楷体" w:cs="楷体"/>
          <w:sz w:val="32"/>
          <w:szCs w:val="32"/>
        </w:rPr>
        <w:t>）</w:t>
      </w:r>
      <w:r>
        <w:rPr>
          <w:rFonts w:hint="eastAsia" w:ascii="楷体" w:hAnsi="楷体" w:eastAsia="楷体" w:cs="楷体"/>
          <w:sz w:val="32"/>
          <w:szCs w:val="32"/>
        </w:rPr>
        <w:t>支出</w:t>
      </w:r>
      <w:r>
        <w:rPr>
          <w:rFonts w:ascii="楷体" w:hAnsi="楷体" w:eastAsia="楷体" w:cs="楷体"/>
          <w:sz w:val="32"/>
          <w:szCs w:val="32"/>
        </w:rPr>
        <w:t>总计</w:t>
      </w:r>
      <w:r>
        <w:rPr>
          <w:rFonts w:hint="eastAsia" w:ascii="楷体" w:hAnsi="楷体" w:eastAsia="楷体" w:cs="楷体"/>
          <w:sz w:val="32"/>
          <w:szCs w:val="32"/>
        </w:rPr>
        <w:t>主要</w:t>
      </w:r>
      <w:r>
        <w:rPr>
          <w:rFonts w:ascii="楷体" w:hAnsi="楷体" w:eastAsia="楷体" w:cs="楷体"/>
          <w:sz w:val="32"/>
          <w:szCs w:val="32"/>
        </w:rPr>
        <w:t>构成</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本年支出</w:t>
      </w:r>
      <w:r>
        <w:rPr>
          <w:rFonts w:hint="eastAsia" w:ascii="仿宋_GB2312" w:hAnsi="仿宋_GB2312" w:eastAsia="仿宋_GB2312" w:cs="仿宋_GB2312"/>
          <w:color w:val="auto"/>
          <w:sz w:val="32"/>
          <w:szCs w:val="32"/>
          <w:lang w:val="en-US"/>
        </w:rPr>
        <w:t>3,323.40</w:t>
      </w:r>
      <w:r>
        <w:rPr>
          <w:rFonts w:hint="eastAsia" w:ascii="仿宋_GB2312" w:hAnsi="仿宋_GB2312" w:eastAsia="仿宋_GB2312" w:cs="仿宋_GB2312"/>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结余分配</w:t>
      </w:r>
      <w:r>
        <w:rPr>
          <w:rFonts w:hint="eastAsia" w:ascii="仿宋_GB2312" w:hAnsi="仿宋_GB2312" w:eastAsia="仿宋_GB2312" w:cs="仿宋_GB2312"/>
          <w:color w:val="auto"/>
          <w:sz w:val="32"/>
          <w:szCs w:val="32"/>
          <w:lang w:val="en-US"/>
        </w:rPr>
        <w:t>0</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不存在结余分配</w:t>
      </w:r>
      <w:r>
        <w:rPr>
          <w:rFonts w:hint="eastAsia" w:ascii="仿宋_GB2312" w:hAnsi="仿宋_GB2312" w:eastAsia="仿宋_GB2312" w:cs="仿宋_GB2312"/>
          <w:color w:val="auto"/>
          <w:sz w:val="32"/>
          <w:szCs w:val="32"/>
        </w:rPr>
        <w:t>，较</w:t>
      </w:r>
      <w:r>
        <w:rPr>
          <w:rFonts w:hint="eastAsia" w:ascii="仿宋_GB2312" w:hAnsi="仿宋_GB2312" w:eastAsia="仿宋_GB2312" w:cs="仿宋_GB2312"/>
          <w:color w:val="auto"/>
          <w:sz w:val="32"/>
          <w:szCs w:val="32"/>
          <w:lang w:val="en-US"/>
        </w:rPr>
        <w:t>2024</w:t>
      </w:r>
      <w:r>
        <w:rPr>
          <w:rFonts w:hint="eastAsia" w:ascii="仿宋_GB2312" w:hAnsi="仿宋_GB2312" w:eastAsia="仿宋_GB2312" w:cs="仿宋_GB2312"/>
          <w:color w:val="auto"/>
          <w:sz w:val="32"/>
          <w:szCs w:val="32"/>
        </w:rPr>
        <w:t>年度决算数增加</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万元，增长</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年末结转结余</w:t>
      </w:r>
      <w:r>
        <w:rPr>
          <w:rFonts w:hint="eastAsia" w:ascii="仿宋_GB2312" w:hAnsi="仿宋_GB2312" w:eastAsia="仿宋_GB2312" w:cs="仿宋_GB2312"/>
          <w:color w:val="auto"/>
          <w:sz w:val="32"/>
          <w:szCs w:val="32"/>
          <w:lang w:val="en-US"/>
        </w:rPr>
        <w:t>34.69</w:t>
      </w:r>
      <w:r>
        <w:rPr>
          <w:rFonts w:hint="eastAsia" w:ascii="仿宋_GB2312" w:hAnsi="仿宋_GB2312" w:eastAsia="仿宋_GB2312" w:cs="仿宋_GB2312"/>
          <w:color w:val="auto"/>
          <w:sz w:val="32"/>
          <w:szCs w:val="32"/>
        </w:rPr>
        <w:t>万元，主要是控制区通行证办理押金结转，较</w:t>
      </w:r>
      <w:r>
        <w:rPr>
          <w:rFonts w:hint="eastAsia" w:ascii="仿宋_GB2312" w:hAnsi="仿宋_GB2312" w:eastAsia="仿宋_GB2312" w:cs="仿宋_GB2312"/>
          <w:color w:val="auto"/>
          <w:sz w:val="32"/>
          <w:szCs w:val="32"/>
          <w:lang w:val="en-US"/>
        </w:rPr>
        <w:t>2024</w:t>
      </w:r>
      <w:r>
        <w:rPr>
          <w:rFonts w:hint="eastAsia" w:ascii="仿宋_GB2312" w:hAnsi="仿宋_GB2312" w:eastAsia="仿宋_GB2312" w:cs="仿宋_GB2312"/>
          <w:color w:val="auto"/>
          <w:sz w:val="32"/>
          <w:szCs w:val="32"/>
        </w:rPr>
        <w:t>年度决算数减少</w:t>
      </w:r>
      <w:r>
        <w:rPr>
          <w:rFonts w:hint="eastAsia" w:ascii="仿宋_GB2312" w:hAnsi="仿宋_GB2312" w:eastAsia="仿宋_GB2312" w:cs="仿宋_GB2312"/>
          <w:color w:val="auto"/>
          <w:sz w:val="32"/>
          <w:szCs w:val="32"/>
          <w:lang w:val="en-US" w:eastAsia="zh-CN"/>
        </w:rPr>
        <w:t>10.73</w:t>
      </w:r>
      <w:r>
        <w:rPr>
          <w:rFonts w:hint="eastAsia" w:ascii="仿宋_GB2312" w:hAnsi="仿宋_GB2312" w:eastAsia="仿宋_GB2312" w:cs="仿宋_GB2312"/>
          <w:color w:val="auto"/>
          <w:sz w:val="32"/>
          <w:szCs w:val="32"/>
        </w:rPr>
        <w:t>万元，下降</w:t>
      </w:r>
      <w:r>
        <w:rPr>
          <w:rFonts w:hint="eastAsia" w:ascii="仿宋_GB2312" w:hAnsi="仿宋_GB2312" w:eastAsia="仿宋_GB2312" w:cs="仿宋_GB2312"/>
          <w:color w:val="auto"/>
          <w:sz w:val="32"/>
          <w:szCs w:val="32"/>
          <w:lang w:val="en-US" w:eastAsia="zh-CN"/>
        </w:rPr>
        <w:t>23.62</w:t>
      </w:r>
      <w:r>
        <w:rPr>
          <w:rFonts w:hint="eastAsia" w:ascii="仿宋_GB2312" w:hAnsi="仿宋_GB2312" w:eastAsia="仿宋_GB2312" w:cs="仿宋_GB2312"/>
          <w:color w:val="auto"/>
          <w:sz w:val="32"/>
          <w:szCs w:val="32"/>
        </w:rPr>
        <w:t>%，主要原因是将2021年度天涯区政法委拨付给我局的反恐维稳经费结余上缴国库，该笔结余经费为10.73万元。</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收入决算情况说明</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本年收入</w:t>
      </w:r>
      <w:r>
        <w:rPr>
          <w:rFonts w:hint="eastAsia" w:ascii="仿宋_GB2312" w:hAnsi="仿宋_GB2312" w:eastAsia="仿宋_GB2312" w:cs="仿宋_GB2312"/>
          <w:color w:val="auto"/>
          <w:sz w:val="32"/>
          <w:szCs w:val="32"/>
          <w:lang w:val="en-US"/>
        </w:rPr>
        <w:t>3,323.40</w:t>
      </w:r>
      <w:r>
        <w:rPr>
          <w:rFonts w:hint="eastAsia" w:ascii="仿宋_GB2312" w:hAnsi="仿宋_GB2312" w:eastAsia="仿宋_GB2312" w:cs="仿宋_GB2312"/>
          <w:color w:val="auto"/>
          <w:sz w:val="32"/>
          <w:szCs w:val="32"/>
        </w:rPr>
        <w:t>万元，其中：财政拨款收入</w:t>
      </w:r>
      <w:r>
        <w:rPr>
          <w:rFonts w:hint="eastAsia" w:ascii="仿宋_GB2312" w:hAnsi="仿宋_GB2312" w:eastAsia="仿宋_GB2312" w:cs="仿宋_GB2312"/>
          <w:color w:val="auto"/>
          <w:sz w:val="32"/>
          <w:szCs w:val="32"/>
          <w:lang w:val="en-US"/>
        </w:rPr>
        <w:t>3,323.40</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%；上级补助收入</w:t>
      </w:r>
      <w:r>
        <w:rPr>
          <w:rFonts w:hint="eastAsia" w:ascii="仿宋_GB2312" w:hAnsi="仿宋_GB2312" w:eastAsia="仿宋_GB2312" w:cs="仿宋_GB2312"/>
          <w:color w:val="auto"/>
          <w:sz w:val="32"/>
          <w:szCs w:val="32"/>
          <w:lang w:val="en-US"/>
        </w:rPr>
        <w:t>0</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%；事业收入</w:t>
      </w:r>
      <w:r>
        <w:rPr>
          <w:rFonts w:hint="eastAsia" w:ascii="仿宋_GB2312" w:hAnsi="仿宋_GB2312" w:eastAsia="仿宋_GB2312" w:cs="仿宋_GB2312"/>
          <w:color w:val="auto"/>
          <w:sz w:val="32"/>
          <w:szCs w:val="32"/>
          <w:lang w:val="en-US"/>
        </w:rPr>
        <w:t>0</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%；经营收入</w:t>
      </w:r>
      <w:r>
        <w:rPr>
          <w:rFonts w:hint="eastAsia" w:ascii="仿宋_GB2312" w:hAnsi="仿宋_GB2312" w:eastAsia="仿宋_GB2312" w:cs="仿宋_GB2312"/>
          <w:color w:val="auto"/>
          <w:sz w:val="32"/>
          <w:szCs w:val="32"/>
          <w:lang w:val="en-US"/>
        </w:rPr>
        <w:t>0</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%；附属单位上缴收入</w:t>
      </w:r>
      <w:r>
        <w:rPr>
          <w:rFonts w:hint="eastAsia" w:ascii="仿宋_GB2312" w:hAnsi="仿宋_GB2312" w:eastAsia="仿宋_GB2312" w:cs="仿宋_GB2312"/>
          <w:color w:val="auto"/>
          <w:sz w:val="32"/>
          <w:szCs w:val="32"/>
          <w:lang w:val="en-US"/>
        </w:rPr>
        <w:t>0</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%；其他收入</w:t>
      </w:r>
      <w:r>
        <w:rPr>
          <w:rFonts w:hint="eastAsia" w:ascii="仿宋_GB2312" w:hAnsi="仿宋_GB2312" w:eastAsia="仿宋_GB2312" w:cs="仿宋_GB2312"/>
          <w:color w:val="auto"/>
          <w:sz w:val="32"/>
          <w:szCs w:val="32"/>
          <w:lang w:val="en-US"/>
        </w:rPr>
        <w:t>0</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三、支出决算情况说明</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本年支出</w:t>
      </w:r>
      <w:r>
        <w:rPr>
          <w:rFonts w:hint="eastAsia" w:ascii="仿宋_GB2312" w:hAnsi="仿宋_GB2312" w:eastAsia="仿宋_GB2312" w:cs="仿宋_GB2312"/>
          <w:color w:val="auto"/>
          <w:sz w:val="32"/>
          <w:szCs w:val="32"/>
          <w:lang w:val="en-US"/>
        </w:rPr>
        <w:t>3,323.40</w:t>
      </w:r>
      <w:r>
        <w:rPr>
          <w:rFonts w:hint="eastAsia" w:ascii="仿宋_GB2312" w:hAnsi="仿宋_GB2312" w:eastAsia="仿宋_GB2312" w:cs="仿宋_GB2312"/>
          <w:color w:val="auto"/>
          <w:sz w:val="32"/>
          <w:szCs w:val="32"/>
        </w:rPr>
        <w:t>万元，其中：基本支出</w:t>
      </w:r>
      <w:r>
        <w:rPr>
          <w:rFonts w:hint="eastAsia" w:ascii="仿宋_GB2312" w:hAnsi="仿宋_GB2312" w:eastAsia="仿宋_GB2312" w:cs="仿宋_GB2312"/>
          <w:color w:val="auto"/>
          <w:sz w:val="32"/>
          <w:szCs w:val="32"/>
          <w:lang w:val="en-US"/>
        </w:rPr>
        <w:t>2,287.44</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val="en-US" w:eastAsia="zh-CN"/>
        </w:rPr>
        <w:t>68.83</w:t>
      </w:r>
      <w:r>
        <w:rPr>
          <w:rFonts w:hint="eastAsia" w:ascii="仿宋_GB2312" w:hAnsi="仿宋_GB2312" w:eastAsia="仿宋_GB2312" w:cs="仿宋_GB2312"/>
          <w:color w:val="auto"/>
          <w:sz w:val="32"/>
          <w:szCs w:val="32"/>
        </w:rPr>
        <w:t>%；项目支出</w:t>
      </w:r>
      <w:r>
        <w:rPr>
          <w:rFonts w:hint="eastAsia" w:ascii="仿宋_GB2312" w:hAnsi="仿宋_GB2312" w:eastAsia="仿宋_GB2312" w:cs="仿宋_GB2312"/>
          <w:color w:val="auto"/>
          <w:sz w:val="32"/>
          <w:szCs w:val="32"/>
          <w:lang w:val="en-US"/>
        </w:rPr>
        <w:t>1,035.96</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val="en-US" w:eastAsia="zh-CN"/>
        </w:rPr>
        <w:t>31.17</w:t>
      </w:r>
      <w:r>
        <w:rPr>
          <w:rFonts w:hint="eastAsia" w:ascii="仿宋_GB2312" w:hAnsi="仿宋_GB2312" w:eastAsia="仿宋_GB2312" w:cs="仿宋_GB2312"/>
          <w:color w:val="auto"/>
          <w:sz w:val="32"/>
          <w:szCs w:val="32"/>
        </w:rPr>
        <w:t>%；上缴上级支出</w:t>
      </w:r>
      <w:r>
        <w:rPr>
          <w:rFonts w:hint="eastAsia" w:ascii="仿宋_GB2312" w:hAnsi="仿宋_GB2312" w:eastAsia="仿宋_GB2312" w:cs="仿宋_GB2312"/>
          <w:color w:val="auto"/>
          <w:sz w:val="32"/>
          <w:szCs w:val="32"/>
          <w:lang w:val="en-US"/>
        </w:rPr>
        <w:t>0</w:t>
      </w:r>
      <w:r>
        <w:rPr>
          <w:rFonts w:hint="eastAsia" w:ascii="仿宋_GB2312" w:hAnsi="仿宋_GB2312" w:eastAsia="仿宋_GB2312" w:cs="仿宋_GB2312"/>
          <w:color w:val="auto"/>
          <w:sz w:val="32"/>
          <w:szCs w:val="32"/>
        </w:rPr>
        <w:t>万元，占%；经营支出</w:t>
      </w:r>
      <w:r>
        <w:rPr>
          <w:rFonts w:hint="eastAsia" w:ascii="仿宋_GB2312" w:hAnsi="仿宋_GB2312" w:eastAsia="仿宋_GB2312" w:cs="仿宋_GB2312"/>
          <w:color w:val="auto"/>
          <w:sz w:val="32"/>
          <w:szCs w:val="32"/>
          <w:lang w:val="en-US"/>
        </w:rPr>
        <w:t>0</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%；对附属单位补助支出</w:t>
      </w:r>
      <w:r>
        <w:rPr>
          <w:rFonts w:hint="eastAsia" w:ascii="仿宋_GB2312" w:hAnsi="仿宋_GB2312" w:eastAsia="仿宋_GB2312" w:cs="仿宋_GB2312"/>
          <w:color w:val="auto"/>
          <w:sz w:val="32"/>
          <w:szCs w:val="32"/>
          <w:lang w:val="en-US"/>
        </w:rPr>
        <w:t>0</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四、财政拨款收入支出决算总体情况说明</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rPr>
        <w:t>2025</w:t>
      </w:r>
      <w:r>
        <w:rPr>
          <w:rFonts w:hint="eastAsia" w:ascii="仿宋_GB2312" w:hAnsi="仿宋_GB2312" w:eastAsia="仿宋_GB2312" w:cs="仿宋_GB2312"/>
          <w:color w:val="auto"/>
          <w:sz w:val="32"/>
          <w:szCs w:val="32"/>
        </w:rPr>
        <w:t>年度财政拨款收入</w:t>
      </w:r>
      <w:r>
        <w:rPr>
          <w:rFonts w:hint="eastAsia" w:ascii="仿宋_GB2312" w:hAnsi="仿宋_GB2312" w:eastAsia="仿宋_GB2312" w:cs="仿宋_GB2312"/>
          <w:color w:val="auto"/>
          <w:sz w:val="32"/>
          <w:szCs w:val="32"/>
          <w:lang w:val="en-US"/>
        </w:rPr>
        <w:t>3,323.40</w:t>
      </w:r>
      <w:r>
        <w:rPr>
          <w:rFonts w:hint="eastAsia" w:ascii="仿宋_GB2312" w:hAnsi="仿宋_GB2312" w:eastAsia="仿宋_GB2312" w:cs="仿宋_GB2312"/>
          <w:color w:val="auto"/>
          <w:sz w:val="32"/>
          <w:szCs w:val="32"/>
        </w:rPr>
        <w:t>万元，支出</w:t>
      </w:r>
      <w:r>
        <w:rPr>
          <w:rFonts w:hint="eastAsia" w:ascii="仿宋_GB2312" w:hAnsi="仿宋_GB2312" w:eastAsia="仿宋_GB2312" w:cs="仿宋_GB2312"/>
          <w:color w:val="auto"/>
          <w:sz w:val="32"/>
          <w:szCs w:val="32"/>
          <w:lang w:val="en-US"/>
        </w:rPr>
        <w:t>3,323.40</w:t>
      </w:r>
      <w:r>
        <w:rPr>
          <w:rFonts w:hint="eastAsia" w:ascii="仿宋_GB2312" w:hAnsi="仿宋_GB2312" w:eastAsia="仿宋_GB2312" w:cs="仿宋_GB2312"/>
          <w:color w:val="auto"/>
          <w:sz w:val="32"/>
          <w:szCs w:val="32"/>
        </w:rPr>
        <w:t>万元。与</w:t>
      </w:r>
      <w:r>
        <w:rPr>
          <w:rFonts w:hint="eastAsia" w:ascii="仿宋_GB2312" w:hAnsi="仿宋_GB2312" w:eastAsia="仿宋_GB2312" w:cs="仿宋_GB2312"/>
          <w:color w:val="auto"/>
          <w:sz w:val="32"/>
          <w:szCs w:val="32"/>
          <w:lang w:val="en-US"/>
        </w:rPr>
        <w:t>2024</w:t>
      </w:r>
      <w:r>
        <w:rPr>
          <w:rFonts w:hint="eastAsia" w:ascii="仿宋_GB2312" w:hAnsi="仿宋_GB2312" w:eastAsia="仿宋_GB2312" w:cs="仿宋_GB2312"/>
          <w:color w:val="auto"/>
          <w:sz w:val="32"/>
          <w:szCs w:val="32"/>
        </w:rPr>
        <w:t>年度相比，财政拨款收入减少</w:t>
      </w:r>
      <w:r>
        <w:rPr>
          <w:rFonts w:hint="eastAsia" w:ascii="仿宋_GB2312" w:hAnsi="仿宋_GB2312" w:eastAsia="仿宋_GB2312" w:cs="仿宋_GB2312"/>
          <w:color w:val="auto"/>
          <w:sz w:val="32"/>
          <w:szCs w:val="32"/>
          <w:lang w:val="en-US" w:eastAsia="zh-CN"/>
        </w:rPr>
        <w:t>335.43</w:t>
      </w:r>
      <w:r>
        <w:rPr>
          <w:rFonts w:hint="eastAsia" w:ascii="仿宋_GB2312" w:hAnsi="仿宋_GB2312" w:eastAsia="仿宋_GB2312" w:cs="仿宋_GB2312"/>
          <w:color w:val="auto"/>
          <w:sz w:val="32"/>
          <w:szCs w:val="32"/>
        </w:rPr>
        <w:t>万元，下降</w:t>
      </w:r>
      <w:r>
        <w:rPr>
          <w:rFonts w:hint="eastAsia" w:ascii="仿宋_GB2312" w:hAnsi="仿宋_GB2312" w:eastAsia="仿宋_GB2312" w:cs="仿宋_GB2312"/>
          <w:color w:val="auto"/>
          <w:sz w:val="32"/>
          <w:szCs w:val="32"/>
          <w:lang w:val="en-US" w:eastAsia="zh-CN"/>
        </w:rPr>
        <w:t>9.17</w:t>
      </w:r>
      <w:r>
        <w:rPr>
          <w:rFonts w:hint="eastAsia" w:ascii="仿宋_GB2312" w:hAnsi="仿宋_GB2312" w:eastAsia="仿宋_GB2312" w:cs="仿宋_GB2312"/>
          <w:color w:val="auto"/>
          <w:sz w:val="32"/>
          <w:szCs w:val="32"/>
        </w:rPr>
        <w:t>%，主要原因：一</w:t>
      </w:r>
      <w:r>
        <w:rPr>
          <w:rFonts w:hint="eastAsia" w:ascii="仿宋_GB2312" w:hAnsi="仿宋_GB2312" w:eastAsia="仿宋_GB2312" w:cs="仿宋_GB2312"/>
          <w:color w:val="auto"/>
          <w:sz w:val="32"/>
          <w:szCs w:val="32"/>
          <w:lang w:eastAsia="zh-CN"/>
        </w:rPr>
        <w:t>是</w:t>
      </w:r>
      <w:r>
        <w:rPr>
          <w:rFonts w:hint="eastAsia" w:ascii="仿宋_GB2312" w:hAnsi="仿宋_GB2312" w:eastAsia="仿宋_GB2312" w:cs="仿宋_GB2312"/>
          <w:color w:val="auto"/>
          <w:sz w:val="32"/>
          <w:szCs w:val="32"/>
        </w:rPr>
        <w:t>本年度我单位机构改革，人事变动频繁，相关业务部门年初的预算计划项目推进缓慢，购置交通智慧宣传屏项目和智能交通管理设备项目仅支付预付款，尚未验收，年中部分预算指标被回收；二是三亚凤凰国际机场有限责任公司未能按时交付</w:t>
      </w:r>
      <w:r>
        <w:rPr>
          <w:rFonts w:hint="eastAsia" w:ascii="仿宋_GB2312" w:hAnsi="仿宋_GB2312" w:eastAsia="仿宋_GB2312" w:cs="仿宋_GB2312"/>
          <w:color w:val="auto"/>
          <w:sz w:val="32"/>
          <w:szCs w:val="32"/>
          <w:lang w:eastAsia="zh-CN"/>
        </w:rPr>
        <w:t>我局</w:t>
      </w:r>
      <w:r>
        <w:rPr>
          <w:rFonts w:hint="eastAsia" w:ascii="仿宋_GB2312" w:hAnsi="仿宋_GB2312" w:eastAsia="仿宋_GB2312" w:cs="仿宋_GB2312"/>
          <w:color w:val="auto"/>
          <w:sz w:val="32"/>
          <w:szCs w:val="32"/>
          <w:lang w:val="en-US" w:eastAsia="zh-CN"/>
        </w:rPr>
        <w:t>T3航站楼</w:t>
      </w:r>
      <w:r>
        <w:rPr>
          <w:rFonts w:hint="eastAsia" w:ascii="仿宋_GB2312" w:hAnsi="仿宋_GB2312" w:eastAsia="仿宋_GB2312" w:cs="仿宋_GB2312"/>
          <w:color w:val="auto"/>
          <w:sz w:val="32"/>
          <w:szCs w:val="32"/>
        </w:rPr>
        <w:t>办公用房，</w:t>
      </w:r>
      <w:r>
        <w:rPr>
          <w:rFonts w:hint="eastAsia" w:ascii="仿宋_GB2312" w:hAnsi="仿宋_GB2312" w:eastAsia="仿宋_GB2312" w:cs="仿宋_GB2312"/>
          <w:color w:val="auto"/>
          <w:sz w:val="32"/>
          <w:szCs w:val="32"/>
          <w:lang w:eastAsia="zh-CN"/>
        </w:rPr>
        <w:t>导致年初预留该新增办公场所的装修和配备办公设备及家具经费未能列支</w:t>
      </w:r>
      <w:r>
        <w:rPr>
          <w:rFonts w:hint="eastAsia" w:ascii="仿宋_GB2312" w:hAnsi="仿宋_GB2312" w:eastAsia="仿宋_GB2312" w:cs="仿宋_GB2312"/>
          <w:color w:val="auto"/>
          <w:sz w:val="32"/>
          <w:szCs w:val="32"/>
        </w:rPr>
        <w:t>。支出减少</w:t>
      </w:r>
      <w:r>
        <w:rPr>
          <w:rFonts w:hint="eastAsia" w:ascii="仿宋_GB2312" w:hAnsi="仿宋_GB2312" w:eastAsia="仿宋_GB2312" w:cs="仿宋_GB2312"/>
          <w:color w:val="auto"/>
          <w:sz w:val="32"/>
          <w:szCs w:val="32"/>
          <w:lang w:val="en-US" w:eastAsia="zh-CN"/>
        </w:rPr>
        <w:t>335.43</w:t>
      </w:r>
      <w:r>
        <w:rPr>
          <w:rFonts w:hint="eastAsia" w:ascii="仿宋_GB2312" w:hAnsi="仿宋_GB2312" w:eastAsia="仿宋_GB2312" w:cs="仿宋_GB2312"/>
          <w:color w:val="auto"/>
          <w:sz w:val="32"/>
          <w:szCs w:val="32"/>
        </w:rPr>
        <w:t>万元，下降</w:t>
      </w:r>
      <w:r>
        <w:rPr>
          <w:rFonts w:hint="eastAsia" w:ascii="仿宋_GB2312" w:hAnsi="仿宋_GB2312" w:eastAsia="仿宋_GB2312" w:cs="仿宋_GB2312"/>
          <w:color w:val="auto"/>
          <w:sz w:val="32"/>
          <w:szCs w:val="32"/>
          <w:lang w:val="en-US" w:eastAsia="zh-CN"/>
        </w:rPr>
        <w:t>9.17</w:t>
      </w:r>
      <w:r>
        <w:rPr>
          <w:rFonts w:hint="eastAsia" w:ascii="仿宋_GB2312" w:hAnsi="仿宋_GB2312" w:eastAsia="仿宋_GB2312" w:cs="仿宋_GB2312"/>
          <w:color w:val="auto"/>
          <w:sz w:val="32"/>
          <w:szCs w:val="32"/>
        </w:rPr>
        <w:t>%，主要原因：一</w:t>
      </w:r>
      <w:r>
        <w:rPr>
          <w:rFonts w:hint="eastAsia" w:ascii="仿宋_GB2312" w:hAnsi="仿宋_GB2312" w:eastAsia="仿宋_GB2312" w:cs="仿宋_GB2312"/>
          <w:color w:val="auto"/>
          <w:sz w:val="32"/>
          <w:szCs w:val="32"/>
          <w:lang w:eastAsia="zh-CN"/>
        </w:rPr>
        <w:t>是</w:t>
      </w:r>
      <w:r>
        <w:rPr>
          <w:rFonts w:hint="eastAsia" w:ascii="仿宋_GB2312" w:hAnsi="仿宋_GB2312" w:eastAsia="仿宋_GB2312" w:cs="仿宋_GB2312"/>
          <w:color w:val="auto"/>
          <w:sz w:val="32"/>
          <w:szCs w:val="32"/>
        </w:rPr>
        <w:t>本年度我单位机构改革，人事变动频繁，相关业务部门年初的预算计划项目推进缓慢，购置交通智慧宣传屏项目和智能交通管理设备项目仅支付预付款，尚未验收，年中部分预算指标被回收；</w:t>
      </w:r>
      <w:r>
        <w:rPr>
          <w:rFonts w:hint="eastAsia" w:ascii="仿宋_GB2312" w:hAnsi="仿宋_GB2312" w:eastAsia="仿宋_GB2312" w:cs="仿宋_GB2312"/>
          <w:color w:val="auto"/>
          <w:sz w:val="32"/>
          <w:szCs w:val="32"/>
          <w:lang w:eastAsia="zh-CN"/>
        </w:rPr>
        <w:t>二</w:t>
      </w:r>
      <w:r>
        <w:rPr>
          <w:rFonts w:hint="eastAsia" w:ascii="仿宋_GB2312" w:hAnsi="仿宋_GB2312" w:eastAsia="仿宋_GB2312" w:cs="仿宋_GB2312"/>
          <w:color w:val="auto"/>
          <w:sz w:val="32"/>
          <w:szCs w:val="32"/>
        </w:rPr>
        <w:t>是三亚凤凰国际机场有限责任公司未能按时交付我局T3航站楼办公用房，导致年初预留该新增办公场所的装修和配备办公设备及家具经费未能列支。</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财政拨款年初结转结余</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万元，较</w:t>
      </w:r>
      <w:r>
        <w:rPr>
          <w:rFonts w:hint="eastAsia" w:ascii="仿宋_GB2312" w:hAnsi="仿宋_GB2312" w:eastAsia="仿宋_GB2312" w:cs="仿宋_GB2312"/>
          <w:color w:val="auto"/>
          <w:sz w:val="32"/>
          <w:szCs w:val="32"/>
          <w:lang w:val="en-US"/>
        </w:rPr>
        <w:t>2024</w:t>
      </w:r>
      <w:r>
        <w:rPr>
          <w:rFonts w:hint="eastAsia" w:ascii="仿宋_GB2312" w:hAnsi="仿宋_GB2312" w:eastAsia="仿宋_GB2312" w:cs="仿宋_GB2312"/>
          <w:color w:val="auto"/>
          <w:sz w:val="32"/>
          <w:szCs w:val="32"/>
        </w:rPr>
        <w:t>年度决算数增加</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万元，增长</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财政拨款年末结转结余</w:t>
      </w:r>
      <w:r>
        <w:rPr>
          <w:rFonts w:hint="eastAsia" w:ascii="仿宋_GB2312" w:hAnsi="仿宋_GB2312" w:eastAsia="仿宋_GB2312" w:cs="仿宋_GB2312"/>
          <w:color w:val="auto"/>
          <w:sz w:val="32"/>
          <w:szCs w:val="32"/>
          <w:lang w:val="en-US"/>
        </w:rPr>
        <w:t>0.00</w:t>
      </w:r>
      <w:r>
        <w:rPr>
          <w:rFonts w:hint="eastAsia" w:ascii="仿宋_GB2312" w:hAnsi="仿宋_GB2312" w:eastAsia="仿宋_GB2312" w:cs="仿宋_GB2312"/>
          <w:color w:val="auto"/>
          <w:sz w:val="32"/>
          <w:szCs w:val="32"/>
        </w:rPr>
        <w:t>万元，较</w:t>
      </w:r>
      <w:r>
        <w:rPr>
          <w:rFonts w:hint="eastAsia" w:ascii="仿宋_GB2312" w:hAnsi="仿宋_GB2312" w:eastAsia="仿宋_GB2312" w:cs="仿宋_GB2312"/>
          <w:color w:val="auto"/>
          <w:sz w:val="32"/>
          <w:szCs w:val="32"/>
          <w:lang w:val="en-US"/>
        </w:rPr>
        <w:t>2024</w:t>
      </w:r>
      <w:r>
        <w:rPr>
          <w:rFonts w:hint="eastAsia" w:ascii="仿宋_GB2312" w:hAnsi="仿宋_GB2312" w:eastAsia="仿宋_GB2312" w:cs="仿宋_GB2312"/>
          <w:color w:val="auto"/>
          <w:sz w:val="32"/>
          <w:szCs w:val="32"/>
        </w:rPr>
        <w:t>年度决算数增加</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万元，增长</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五、一般公共预算财政拨款支出决算情况说明</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rPr>
          <w:rFonts w:hint="eastAsia" w:ascii="楷体" w:hAnsi="楷体" w:eastAsia="楷体" w:cs="楷体"/>
          <w:sz w:val="32"/>
          <w:szCs w:val="32"/>
        </w:rPr>
      </w:pPr>
      <w:bookmarkStart w:id="77" w:name="_Toc21737_WPSOffice_Level2"/>
      <w:bookmarkStart w:id="78" w:name="_Toc23005_WPSOffice_Level2"/>
      <w:bookmarkStart w:id="79" w:name="_Toc13694_WPSOffice_Level2"/>
      <w:bookmarkStart w:id="80" w:name="_Toc17398_WPSOffice_Level2"/>
      <w:bookmarkStart w:id="81" w:name="_Toc19665_WPSOffice_Level2"/>
      <w:bookmarkStart w:id="82" w:name="_Toc9989_WPSOffice_Level2"/>
      <w:r>
        <w:rPr>
          <w:rFonts w:hint="eastAsia" w:ascii="楷体" w:hAnsi="楷体" w:eastAsia="楷体" w:cs="楷体"/>
          <w:sz w:val="32"/>
          <w:szCs w:val="32"/>
        </w:rPr>
        <w:t>（一）一般公共预算财政拨款支出决算总体情况</w:t>
      </w:r>
      <w:bookmarkEnd w:id="77"/>
      <w:bookmarkEnd w:id="78"/>
      <w:bookmarkEnd w:id="79"/>
      <w:bookmarkEnd w:id="80"/>
      <w:bookmarkEnd w:id="81"/>
      <w:bookmarkEnd w:id="82"/>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rPr>
        <w:t>2025</w:t>
      </w:r>
      <w:r>
        <w:rPr>
          <w:rFonts w:hint="eastAsia" w:ascii="仿宋_GB2312" w:hAnsi="仿宋_GB2312" w:eastAsia="仿宋_GB2312" w:cs="仿宋_GB2312"/>
          <w:color w:val="auto"/>
          <w:sz w:val="32"/>
          <w:szCs w:val="32"/>
        </w:rPr>
        <w:t>年度一般公共预算财政拨款支出</w:t>
      </w:r>
      <w:r>
        <w:rPr>
          <w:rFonts w:hint="eastAsia" w:ascii="仿宋_GB2312" w:hAnsi="仿宋_GB2312" w:eastAsia="仿宋_GB2312" w:cs="仿宋_GB2312"/>
          <w:color w:val="auto"/>
          <w:sz w:val="32"/>
          <w:szCs w:val="32"/>
          <w:lang w:val="en-US"/>
        </w:rPr>
        <w:t>3,323.40</w:t>
      </w:r>
      <w:r>
        <w:rPr>
          <w:rFonts w:hint="eastAsia" w:ascii="仿宋_GB2312" w:hAnsi="仿宋_GB2312" w:eastAsia="仿宋_GB2312" w:cs="仿宋_GB2312"/>
          <w:color w:val="auto"/>
          <w:sz w:val="32"/>
          <w:szCs w:val="32"/>
        </w:rPr>
        <w:t>万元，占本年支出合计的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%。与</w:t>
      </w:r>
      <w:r>
        <w:rPr>
          <w:rFonts w:hint="eastAsia" w:ascii="仿宋_GB2312" w:hAnsi="仿宋_GB2312" w:eastAsia="仿宋_GB2312" w:cs="仿宋_GB2312"/>
          <w:color w:val="auto"/>
          <w:sz w:val="32"/>
          <w:szCs w:val="32"/>
          <w:lang w:val="en-US"/>
        </w:rPr>
        <w:t>2024</w:t>
      </w:r>
      <w:r>
        <w:rPr>
          <w:rFonts w:hint="eastAsia" w:ascii="仿宋_GB2312" w:hAnsi="仿宋_GB2312" w:eastAsia="仿宋_GB2312" w:cs="仿宋_GB2312"/>
          <w:color w:val="auto"/>
          <w:sz w:val="32"/>
          <w:szCs w:val="32"/>
        </w:rPr>
        <w:t>年度相比，一般公共预算财政拨款支出减少</w:t>
      </w:r>
      <w:r>
        <w:rPr>
          <w:rFonts w:hint="eastAsia" w:ascii="仿宋_GB2312" w:hAnsi="仿宋_GB2312" w:eastAsia="仿宋_GB2312" w:cs="仿宋_GB2312"/>
          <w:color w:val="auto"/>
          <w:sz w:val="32"/>
          <w:szCs w:val="32"/>
          <w:lang w:val="en-US" w:eastAsia="zh-CN"/>
        </w:rPr>
        <w:t>335.43</w:t>
      </w:r>
      <w:r>
        <w:rPr>
          <w:rFonts w:hint="eastAsia" w:ascii="仿宋_GB2312" w:hAnsi="仿宋_GB2312" w:eastAsia="仿宋_GB2312" w:cs="仿宋_GB2312"/>
          <w:color w:val="auto"/>
          <w:sz w:val="32"/>
          <w:szCs w:val="32"/>
        </w:rPr>
        <w:t>万元，下降</w:t>
      </w:r>
      <w:r>
        <w:rPr>
          <w:rFonts w:hint="eastAsia" w:ascii="仿宋_GB2312" w:hAnsi="仿宋_GB2312" w:eastAsia="仿宋_GB2312" w:cs="仿宋_GB2312"/>
          <w:color w:val="auto"/>
          <w:sz w:val="32"/>
          <w:szCs w:val="32"/>
          <w:lang w:val="en-US" w:eastAsia="zh-CN"/>
        </w:rPr>
        <w:t>9.17</w:t>
      </w:r>
      <w:r>
        <w:rPr>
          <w:rFonts w:hint="eastAsia" w:ascii="仿宋_GB2312" w:hAnsi="仿宋_GB2312" w:eastAsia="仿宋_GB2312" w:cs="仿宋_GB2312"/>
          <w:color w:val="auto"/>
          <w:sz w:val="32"/>
          <w:szCs w:val="32"/>
        </w:rPr>
        <w:t>%，主要原因：一是本年度我单位机构改革，人事变动频繁，相关业务部门年初的预算计划项目推进缓慢，购置交通智慧宣传屏项目和智能交通管理设备项目仅支付预付款，尚未验收，年中部分预算指标被回收；二是三亚凤凰国际机场有限责任公司未能按时交付我局T3航站楼办公用房，导致年初预留该新增办公场所的装修和配备办公设备及家具经费未能列支。</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rPr>
          <w:rFonts w:hint="eastAsia" w:ascii="楷体" w:hAnsi="楷体" w:eastAsia="楷体" w:cs="楷体"/>
          <w:sz w:val="32"/>
          <w:szCs w:val="32"/>
        </w:rPr>
      </w:pPr>
      <w:bookmarkStart w:id="83" w:name="_Toc27767_WPSOffice_Level2"/>
      <w:bookmarkStart w:id="84" w:name="_Toc19535_WPSOffice_Level2"/>
      <w:bookmarkStart w:id="85" w:name="_Toc23864_WPSOffice_Level2"/>
      <w:bookmarkStart w:id="86" w:name="_Toc18793_WPSOffice_Level2"/>
      <w:bookmarkStart w:id="87" w:name="_Toc19075_WPSOffice_Level2"/>
      <w:bookmarkStart w:id="88" w:name="_Toc2711_WPSOffice_Level2"/>
      <w:r>
        <w:rPr>
          <w:rFonts w:hint="eastAsia" w:ascii="楷体" w:hAnsi="楷体" w:eastAsia="楷体" w:cs="楷体"/>
          <w:sz w:val="32"/>
          <w:szCs w:val="32"/>
        </w:rPr>
        <w:t>（二）一般公共预算财政拨款支出决算结构情况</w:t>
      </w:r>
      <w:bookmarkEnd w:id="83"/>
      <w:bookmarkEnd w:id="84"/>
      <w:bookmarkEnd w:id="85"/>
      <w:bookmarkEnd w:id="86"/>
      <w:bookmarkEnd w:id="87"/>
      <w:bookmarkEnd w:id="88"/>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color w:val="auto"/>
          <w:sz w:val="32"/>
          <w:szCs w:val="32"/>
          <w:lang w:val="en-US"/>
        </w:rPr>
        <w:t>2025</w:t>
      </w:r>
      <w:r>
        <w:rPr>
          <w:rFonts w:hint="eastAsia" w:ascii="仿宋_GB2312" w:hAnsi="仿宋_GB2312" w:eastAsia="仿宋_GB2312" w:cs="仿宋_GB2312"/>
          <w:color w:val="auto"/>
          <w:sz w:val="32"/>
          <w:szCs w:val="32"/>
        </w:rPr>
        <w:t>年度一般公共预算财政拨款支出</w:t>
      </w:r>
      <w:r>
        <w:rPr>
          <w:rFonts w:hint="eastAsia" w:ascii="仿宋_GB2312" w:hAnsi="仿宋_GB2312" w:eastAsia="仿宋_GB2312" w:cs="仿宋_GB2312"/>
          <w:color w:val="auto"/>
          <w:sz w:val="32"/>
          <w:szCs w:val="32"/>
          <w:lang w:val="en-US"/>
        </w:rPr>
        <w:t>3323.40</w:t>
      </w:r>
      <w:r>
        <w:rPr>
          <w:rFonts w:hint="eastAsia" w:ascii="仿宋_GB2312" w:hAnsi="仿宋_GB2312" w:eastAsia="仿宋_GB2312" w:cs="仿宋_GB2312"/>
          <w:color w:val="auto"/>
          <w:sz w:val="32"/>
          <w:szCs w:val="32"/>
        </w:rPr>
        <w:t>万元，主要用于以下方面</w:t>
      </w:r>
      <w:r>
        <w:rPr>
          <w:rFonts w:hint="eastAsia" w:ascii="仿宋_GB2312" w:hAnsi="仿宋_GB2312" w:eastAsia="仿宋_GB2312" w:cs="仿宋_GB2312"/>
          <w:b w:val="0"/>
          <w:bCs w:val="0"/>
          <w:color w:val="auto"/>
          <w:sz w:val="32"/>
          <w:szCs w:val="32"/>
        </w:rPr>
        <w:t>：公共安全支出（类）支出26</w:t>
      </w:r>
      <w:r>
        <w:rPr>
          <w:rFonts w:hint="eastAsia" w:ascii="仿宋_GB2312" w:hAnsi="仿宋_GB2312" w:eastAsia="仿宋_GB2312" w:cs="仿宋_GB2312"/>
          <w:b w:val="0"/>
          <w:bCs w:val="0"/>
          <w:color w:val="auto"/>
          <w:sz w:val="32"/>
          <w:szCs w:val="32"/>
          <w:lang w:val="en-US" w:eastAsia="zh-CN"/>
        </w:rPr>
        <w:t>99.95</w:t>
      </w:r>
      <w:r>
        <w:rPr>
          <w:rFonts w:hint="eastAsia" w:ascii="仿宋_GB2312" w:hAnsi="仿宋_GB2312" w:eastAsia="仿宋_GB2312" w:cs="仿宋_GB2312"/>
          <w:b w:val="0"/>
          <w:bCs w:val="0"/>
          <w:color w:val="auto"/>
          <w:sz w:val="32"/>
          <w:szCs w:val="32"/>
        </w:rPr>
        <w:t>万元，占</w:t>
      </w:r>
      <w:r>
        <w:rPr>
          <w:rFonts w:hint="eastAsia" w:ascii="仿宋_GB2312" w:hAnsi="仿宋_GB2312" w:eastAsia="仿宋_GB2312" w:cs="仿宋_GB2312"/>
          <w:b w:val="0"/>
          <w:bCs w:val="0"/>
          <w:color w:val="auto"/>
          <w:sz w:val="32"/>
          <w:szCs w:val="32"/>
          <w:lang w:val="en-US" w:eastAsia="zh-CN"/>
        </w:rPr>
        <w:t>81.24</w:t>
      </w:r>
      <w:r>
        <w:rPr>
          <w:rFonts w:hint="eastAsia" w:ascii="仿宋_GB2312" w:hAnsi="仿宋_GB2312" w:eastAsia="仿宋_GB2312" w:cs="仿宋_GB2312"/>
          <w:b w:val="0"/>
          <w:bCs w:val="0"/>
          <w:color w:val="auto"/>
          <w:sz w:val="32"/>
          <w:szCs w:val="32"/>
        </w:rPr>
        <w:t>%；社会保障和就业（类）支出</w:t>
      </w:r>
      <w:r>
        <w:rPr>
          <w:rFonts w:hint="eastAsia" w:ascii="仿宋_GB2312" w:hAnsi="仿宋_GB2312" w:eastAsia="仿宋_GB2312" w:cs="仿宋_GB2312"/>
          <w:b w:val="0"/>
          <w:bCs w:val="0"/>
          <w:color w:val="auto"/>
          <w:sz w:val="32"/>
          <w:szCs w:val="32"/>
          <w:lang w:val="en-US" w:eastAsia="zh-CN"/>
        </w:rPr>
        <w:t>226.62</w:t>
      </w:r>
      <w:r>
        <w:rPr>
          <w:rFonts w:hint="eastAsia" w:ascii="仿宋_GB2312" w:hAnsi="仿宋_GB2312" w:eastAsia="仿宋_GB2312" w:cs="仿宋_GB2312"/>
          <w:b w:val="0"/>
          <w:bCs w:val="0"/>
          <w:color w:val="auto"/>
          <w:sz w:val="32"/>
          <w:szCs w:val="32"/>
        </w:rPr>
        <w:t>万元，占</w:t>
      </w:r>
      <w:r>
        <w:rPr>
          <w:rFonts w:hint="eastAsia" w:ascii="仿宋_GB2312" w:hAnsi="仿宋_GB2312" w:eastAsia="仿宋_GB2312" w:cs="仿宋_GB2312"/>
          <w:b w:val="0"/>
          <w:bCs w:val="0"/>
          <w:color w:val="auto"/>
          <w:sz w:val="32"/>
          <w:szCs w:val="32"/>
          <w:lang w:val="en-US" w:eastAsia="zh-CN"/>
        </w:rPr>
        <w:t>6.82</w:t>
      </w:r>
      <w:r>
        <w:rPr>
          <w:rFonts w:hint="eastAsia" w:ascii="仿宋_GB2312" w:hAnsi="仿宋_GB2312" w:eastAsia="仿宋_GB2312" w:cs="仿宋_GB2312"/>
          <w:b w:val="0"/>
          <w:bCs w:val="0"/>
          <w:color w:val="auto"/>
          <w:sz w:val="32"/>
          <w:szCs w:val="32"/>
        </w:rPr>
        <w:t>%；卫生健康支出（类）支出23</w:t>
      </w:r>
      <w:r>
        <w:rPr>
          <w:rFonts w:hint="eastAsia" w:ascii="仿宋_GB2312" w:hAnsi="仿宋_GB2312" w:eastAsia="仿宋_GB2312" w:cs="仿宋_GB2312"/>
          <w:b w:val="0"/>
          <w:bCs w:val="0"/>
          <w:color w:val="auto"/>
          <w:sz w:val="32"/>
          <w:szCs w:val="32"/>
          <w:lang w:val="en-US" w:eastAsia="zh-CN"/>
        </w:rPr>
        <w:t>6.77</w:t>
      </w:r>
      <w:r>
        <w:rPr>
          <w:rFonts w:hint="eastAsia" w:ascii="仿宋_GB2312" w:hAnsi="仿宋_GB2312" w:eastAsia="仿宋_GB2312" w:cs="仿宋_GB2312"/>
          <w:b w:val="0"/>
          <w:bCs w:val="0"/>
          <w:color w:val="auto"/>
          <w:sz w:val="32"/>
          <w:szCs w:val="32"/>
        </w:rPr>
        <w:t>万元，占</w:t>
      </w:r>
      <w:r>
        <w:rPr>
          <w:rFonts w:hint="eastAsia" w:ascii="仿宋_GB2312" w:hAnsi="仿宋_GB2312" w:eastAsia="仿宋_GB2312" w:cs="仿宋_GB2312"/>
          <w:b w:val="0"/>
          <w:bCs w:val="0"/>
          <w:color w:val="auto"/>
          <w:sz w:val="32"/>
          <w:szCs w:val="32"/>
          <w:lang w:val="en-US" w:eastAsia="zh-CN"/>
        </w:rPr>
        <w:t>7.12</w:t>
      </w:r>
      <w:r>
        <w:rPr>
          <w:rFonts w:hint="eastAsia" w:ascii="仿宋_GB2312" w:hAnsi="仿宋_GB2312" w:eastAsia="仿宋_GB2312" w:cs="仿宋_GB2312"/>
          <w:b w:val="0"/>
          <w:bCs w:val="0"/>
          <w:color w:val="auto"/>
          <w:sz w:val="32"/>
          <w:szCs w:val="32"/>
        </w:rPr>
        <w:t>%；住房保障（类）支出</w:t>
      </w:r>
      <w:r>
        <w:rPr>
          <w:rFonts w:hint="eastAsia" w:ascii="仿宋_GB2312" w:hAnsi="仿宋_GB2312" w:eastAsia="仿宋_GB2312" w:cs="仿宋_GB2312"/>
          <w:b w:val="0"/>
          <w:bCs w:val="0"/>
          <w:color w:val="auto"/>
          <w:sz w:val="32"/>
          <w:szCs w:val="32"/>
          <w:lang w:val="en-US" w:eastAsia="zh-CN"/>
        </w:rPr>
        <w:t>160.07</w:t>
      </w:r>
      <w:r>
        <w:rPr>
          <w:rFonts w:hint="eastAsia" w:ascii="仿宋_GB2312" w:hAnsi="仿宋_GB2312" w:eastAsia="仿宋_GB2312" w:cs="仿宋_GB2312"/>
          <w:b w:val="0"/>
          <w:bCs w:val="0"/>
          <w:color w:val="auto"/>
          <w:sz w:val="32"/>
          <w:szCs w:val="32"/>
        </w:rPr>
        <w:t>万元，占4.</w:t>
      </w:r>
      <w:r>
        <w:rPr>
          <w:rFonts w:hint="eastAsia" w:ascii="仿宋_GB2312" w:hAnsi="仿宋_GB2312" w:eastAsia="仿宋_GB2312" w:cs="仿宋_GB2312"/>
          <w:b w:val="0"/>
          <w:bCs w:val="0"/>
          <w:color w:val="auto"/>
          <w:sz w:val="32"/>
          <w:szCs w:val="32"/>
          <w:lang w:val="en-US" w:eastAsia="zh-CN"/>
        </w:rPr>
        <w:t>82</w:t>
      </w:r>
      <w:r>
        <w:rPr>
          <w:rFonts w:hint="eastAsia" w:ascii="仿宋_GB2312" w:hAnsi="仿宋_GB2312" w:eastAsia="仿宋_GB2312" w:cs="仿宋_GB2312"/>
          <w:b w:val="0"/>
          <w:bCs w:val="0"/>
          <w:color w:val="auto"/>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rPr>
          <w:rFonts w:hint="eastAsia" w:ascii="楷体" w:hAnsi="楷体" w:eastAsia="楷体" w:cs="楷体"/>
          <w:sz w:val="32"/>
          <w:szCs w:val="32"/>
        </w:rPr>
      </w:pPr>
      <w:bookmarkStart w:id="89" w:name="_Toc21701_WPSOffice_Level2"/>
      <w:bookmarkStart w:id="90" w:name="_Toc15415_WPSOffice_Level2"/>
      <w:bookmarkStart w:id="91" w:name="_Toc29364_WPSOffice_Level2"/>
      <w:bookmarkStart w:id="92" w:name="_Toc22318_WPSOffice_Level2"/>
      <w:bookmarkStart w:id="93" w:name="_Toc9502_WPSOffice_Level2"/>
      <w:bookmarkStart w:id="94" w:name="_Toc25136_WPSOffice_Level2"/>
      <w:r>
        <w:rPr>
          <w:rFonts w:hint="eastAsia" w:ascii="楷体" w:hAnsi="楷体" w:eastAsia="楷体" w:cs="楷体"/>
          <w:sz w:val="32"/>
          <w:szCs w:val="32"/>
        </w:rPr>
        <w:t>（三）一般公共预算财政拨款支出决算具体情况</w:t>
      </w:r>
      <w:bookmarkEnd w:id="89"/>
      <w:bookmarkEnd w:id="90"/>
      <w:bookmarkEnd w:id="91"/>
      <w:bookmarkEnd w:id="92"/>
      <w:bookmarkEnd w:id="93"/>
      <w:bookmarkEnd w:id="94"/>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rPr>
        <w:t>2025</w:t>
      </w:r>
      <w:r>
        <w:rPr>
          <w:rFonts w:hint="eastAsia" w:ascii="仿宋_GB2312" w:hAnsi="仿宋_GB2312" w:eastAsia="仿宋_GB2312" w:cs="仿宋_GB2312"/>
          <w:color w:val="auto"/>
          <w:sz w:val="32"/>
          <w:szCs w:val="32"/>
        </w:rPr>
        <w:t>年度一般公共预算财政拨款支出年初预算为</w:t>
      </w:r>
      <w:r>
        <w:rPr>
          <w:rFonts w:hint="eastAsia" w:ascii="仿宋_GB2312" w:hAnsi="仿宋_GB2312" w:eastAsia="仿宋_GB2312" w:cs="仿宋_GB2312"/>
          <w:color w:val="auto"/>
          <w:sz w:val="32"/>
          <w:szCs w:val="32"/>
          <w:lang w:val="en-US" w:eastAsia="zh-CN"/>
        </w:rPr>
        <w:t>3319.74</w:t>
      </w:r>
      <w:r>
        <w:rPr>
          <w:rFonts w:hint="eastAsia" w:ascii="仿宋_GB2312" w:hAnsi="仿宋_GB2312" w:eastAsia="仿宋_GB2312" w:cs="仿宋_GB2312"/>
          <w:color w:val="auto"/>
          <w:sz w:val="32"/>
          <w:szCs w:val="32"/>
        </w:rPr>
        <w:t>万元，支出决算为</w:t>
      </w:r>
      <w:r>
        <w:rPr>
          <w:rFonts w:hint="eastAsia" w:ascii="仿宋_GB2312" w:hAnsi="仿宋_GB2312" w:eastAsia="仿宋_GB2312" w:cs="仿宋_GB2312"/>
          <w:color w:val="auto"/>
          <w:sz w:val="32"/>
          <w:szCs w:val="32"/>
          <w:lang w:val="en-US"/>
        </w:rPr>
        <w:t>3323.40</w:t>
      </w:r>
      <w:r>
        <w:rPr>
          <w:rFonts w:hint="eastAsia" w:ascii="仿宋_GB2312" w:hAnsi="仿宋_GB2312" w:eastAsia="仿宋_GB2312" w:cs="仿宋_GB2312"/>
          <w:color w:val="auto"/>
          <w:sz w:val="32"/>
          <w:szCs w:val="32"/>
        </w:rPr>
        <w:t>万元，完成年初预算的</w:t>
      </w:r>
      <w:r>
        <w:rPr>
          <w:rFonts w:hint="eastAsia" w:ascii="仿宋_GB2312" w:hAnsi="仿宋_GB2312" w:eastAsia="仿宋_GB2312" w:cs="仿宋_GB2312"/>
          <w:color w:val="auto"/>
          <w:sz w:val="32"/>
          <w:szCs w:val="32"/>
          <w:lang w:val="en-US" w:eastAsia="zh-CN"/>
        </w:rPr>
        <w:t>100.11</w:t>
      </w:r>
      <w:r>
        <w:rPr>
          <w:rFonts w:hint="eastAsia" w:ascii="仿宋_GB2312" w:hAnsi="仿宋_GB2312" w:eastAsia="仿宋_GB2312" w:cs="仿宋_GB2312"/>
          <w:color w:val="auto"/>
          <w:sz w:val="32"/>
          <w:szCs w:val="32"/>
        </w:rPr>
        <w:t>%。其中：</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rPr>
        <w:t>公共安全支出（类）公安（款）行政运行（项）</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color w:val="auto"/>
          <w:sz w:val="32"/>
          <w:szCs w:val="32"/>
        </w:rPr>
        <w:t>年初预算为</w:t>
      </w:r>
      <w:r>
        <w:rPr>
          <w:rFonts w:hint="eastAsia" w:ascii="仿宋_GB2312" w:hAnsi="仿宋_GB2312" w:eastAsia="仿宋_GB2312" w:cs="仿宋_GB2312"/>
          <w:color w:val="auto"/>
          <w:sz w:val="32"/>
          <w:szCs w:val="32"/>
          <w:lang w:val="en-US" w:eastAsia="zh-CN"/>
        </w:rPr>
        <w:t>1534.56</w:t>
      </w:r>
      <w:r>
        <w:rPr>
          <w:rFonts w:hint="eastAsia" w:ascii="仿宋_GB2312" w:hAnsi="仿宋_GB2312" w:eastAsia="仿宋_GB2312" w:cs="仿宋_GB2312"/>
          <w:color w:val="auto"/>
          <w:sz w:val="32"/>
          <w:szCs w:val="32"/>
        </w:rPr>
        <w:t>万元，支出决算为</w:t>
      </w:r>
      <w:r>
        <w:rPr>
          <w:rFonts w:hint="eastAsia" w:ascii="仿宋_GB2312" w:hAnsi="仿宋_GB2312" w:eastAsia="仿宋_GB2312" w:cs="仿宋_GB2312"/>
          <w:color w:val="auto"/>
          <w:sz w:val="32"/>
          <w:szCs w:val="32"/>
          <w:lang w:val="en-US" w:eastAsia="zh-CN"/>
        </w:rPr>
        <w:t>1633.98</w:t>
      </w:r>
      <w:r>
        <w:rPr>
          <w:rFonts w:hint="eastAsia" w:ascii="仿宋_GB2312" w:hAnsi="仿宋_GB2312" w:eastAsia="仿宋_GB2312" w:cs="仿宋_GB2312"/>
          <w:color w:val="auto"/>
          <w:sz w:val="32"/>
          <w:szCs w:val="32"/>
        </w:rPr>
        <w:t>万元，完成年初预算的</w:t>
      </w:r>
      <w:r>
        <w:rPr>
          <w:rFonts w:hint="eastAsia" w:ascii="仿宋_GB2312" w:hAnsi="仿宋_GB2312" w:eastAsia="仿宋_GB2312" w:cs="仿宋_GB2312"/>
          <w:color w:val="auto"/>
          <w:sz w:val="32"/>
          <w:szCs w:val="32"/>
          <w:lang w:val="en-US" w:eastAsia="zh-CN"/>
        </w:rPr>
        <w:t>106.48</w:t>
      </w:r>
      <w:r>
        <w:rPr>
          <w:rFonts w:hint="eastAsia" w:ascii="仿宋_GB2312" w:hAnsi="仿宋_GB2312" w:eastAsia="仿宋_GB2312" w:cs="仿宋_GB2312"/>
          <w:color w:val="auto"/>
          <w:sz w:val="32"/>
          <w:szCs w:val="32"/>
        </w:rPr>
        <w:t>%。决算数</w:t>
      </w:r>
      <w:r>
        <w:rPr>
          <w:rFonts w:hint="eastAsia" w:ascii="仿宋_GB2312" w:hAnsi="仿宋_GB2312" w:eastAsia="仿宋_GB2312" w:cs="仿宋_GB2312"/>
          <w:color w:val="auto"/>
          <w:sz w:val="32"/>
          <w:szCs w:val="32"/>
          <w:lang w:eastAsia="zh-CN"/>
        </w:rPr>
        <w:t>大于</w:t>
      </w:r>
      <w:r>
        <w:rPr>
          <w:rFonts w:hint="eastAsia" w:ascii="仿宋_GB2312" w:hAnsi="仿宋_GB2312" w:eastAsia="仿宋_GB2312" w:cs="仿宋_GB2312"/>
          <w:color w:val="auto"/>
          <w:sz w:val="32"/>
          <w:szCs w:val="32"/>
        </w:rPr>
        <w:t>预算数的主要原因：</w:t>
      </w:r>
      <w:r>
        <w:rPr>
          <w:rFonts w:hint="eastAsia" w:ascii="仿宋_GB2312" w:hAnsi="仿宋_GB2312" w:eastAsia="仿宋_GB2312" w:cs="仿宋_GB2312"/>
          <w:color w:val="auto"/>
          <w:sz w:val="32"/>
          <w:szCs w:val="32"/>
          <w:lang w:eastAsia="zh-CN"/>
        </w:rPr>
        <w:t>基层运行成本增加。</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公共安全支出（类）公安（款）一般行政管理事务（项）</w:t>
      </w:r>
      <w:r>
        <w:rPr>
          <w:rFonts w:hint="eastAsia" w:ascii="仿宋_GB2312" w:hAnsi="仿宋_GB2312" w:eastAsia="仿宋_GB2312" w:cs="仿宋_GB2312"/>
          <w:color w:val="auto"/>
          <w:sz w:val="32"/>
          <w:szCs w:val="32"/>
          <w:lang w:eastAsia="zh-CN"/>
        </w:rPr>
        <w:t>。年初预算为</w:t>
      </w:r>
      <w:r>
        <w:rPr>
          <w:rFonts w:hint="eastAsia" w:ascii="仿宋_GB2312" w:hAnsi="仿宋_GB2312" w:eastAsia="仿宋_GB2312" w:cs="仿宋_GB2312"/>
          <w:color w:val="auto"/>
          <w:sz w:val="32"/>
          <w:szCs w:val="32"/>
          <w:lang w:val="en-US" w:eastAsia="zh-CN"/>
        </w:rPr>
        <w:t>595.78</w:t>
      </w:r>
      <w:r>
        <w:rPr>
          <w:rFonts w:hint="eastAsia" w:ascii="仿宋_GB2312" w:hAnsi="仿宋_GB2312" w:eastAsia="仿宋_GB2312" w:cs="仿宋_GB2312"/>
          <w:color w:val="auto"/>
          <w:sz w:val="32"/>
          <w:szCs w:val="32"/>
          <w:lang w:eastAsia="zh-CN"/>
        </w:rPr>
        <w:t>万元，支出决算为</w:t>
      </w:r>
      <w:r>
        <w:rPr>
          <w:rFonts w:hint="eastAsia" w:ascii="仿宋_GB2312" w:hAnsi="仿宋_GB2312" w:eastAsia="仿宋_GB2312" w:cs="仿宋_GB2312"/>
          <w:color w:val="auto"/>
          <w:sz w:val="32"/>
          <w:szCs w:val="32"/>
          <w:lang w:val="en-US" w:eastAsia="zh-CN"/>
        </w:rPr>
        <w:t>574.63</w:t>
      </w:r>
      <w:r>
        <w:rPr>
          <w:rFonts w:hint="eastAsia" w:ascii="仿宋_GB2312" w:hAnsi="仿宋_GB2312" w:eastAsia="仿宋_GB2312" w:cs="仿宋_GB2312"/>
          <w:color w:val="auto"/>
          <w:sz w:val="32"/>
          <w:szCs w:val="32"/>
          <w:lang w:eastAsia="zh-CN"/>
        </w:rPr>
        <w:t>万元，完成年初预算的</w:t>
      </w:r>
      <w:r>
        <w:rPr>
          <w:rFonts w:hint="eastAsia" w:ascii="仿宋_GB2312" w:hAnsi="仿宋_GB2312" w:eastAsia="仿宋_GB2312" w:cs="仿宋_GB2312"/>
          <w:color w:val="auto"/>
          <w:sz w:val="32"/>
          <w:szCs w:val="32"/>
          <w:lang w:val="en-US" w:eastAsia="zh-CN"/>
        </w:rPr>
        <w:t>96.45</w:t>
      </w:r>
      <w:r>
        <w:rPr>
          <w:rFonts w:hint="eastAsia" w:ascii="仿宋_GB2312" w:hAnsi="仿宋_GB2312" w:eastAsia="仿宋_GB2312" w:cs="仿宋_GB2312"/>
          <w:color w:val="auto"/>
          <w:sz w:val="32"/>
          <w:szCs w:val="32"/>
          <w:lang w:eastAsia="zh-CN"/>
        </w:rPr>
        <w:t>%。决算数小于预算数的主要原因：本年度积极控制综合运行事务经费开支。</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公共安全支出（类）公安（款）信息化建设（项）</w:t>
      </w:r>
      <w:r>
        <w:rPr>
          <w:rFonts w:hint="eastAsia" w:ascii="仿宋_GB2312" w:hAnsi="仿宋_GB2312" w:eastAsia="仿宋_GB2312" w:cs="仿宋_GB2312"/>
          <w:color w:val="auto"/>
          <w:sz w:val="32"/>
          <w:szCs w:val="32"/>
          <w:lang w:eastAsia="zh-CN"/>
        </w:rPr>
        <w:t>。年初预算为</w:t>
      </w:r>
      <w:r>
        <w:rPr>
          <w:rFonts w:hint="eastAsia" w:ascii="仿宋_GB2312" w:hAnsi="仿宋_GB2312" w:eastAsia="仿宋_GB2312" w:cs="仿宋_GB2312"/>
          <w:color w:val="auto"/>
          <w:sz w:val="32"/>
          <w:szCs w:val="32"/>
          <w:lang w:val="en-US" w:eastAsia="zh-CN"/>
        </w:rPr>
        <w:t>30万</w:t>
      </w:r>
      <w:r>
        <w:rPr>
          <w:rFonts w:hint="eastAsia" w:ascii="仿宋_GB2312" w:hAnsi="仿宋_GB2312" w:eastAsia="仿宋_GB2312" w:cs="仿宋_GB2312"/>
          <w:color w:val="auto"/>
          <w:sz w:val="32"/>
          <w:szCs w:val="32"/>
          <w:lang w:eastAsia="zh-CN"/>
        </w:rPr>
        <w:t>元，支出决算为</w:t>
      </w:r>
      <w:r>
        <w:rPr>
          <w:rFonts w:hint="eastAsia" w:ascii="仿宋_GB2312" w:hAnsi="仿宋_GB2312" w:eastAsia="仿宋_GB2312" w:cs="仿宋_GB2312"/>
          <w:color w:val="auto"/>
          <w:sz w:val="32"/>
          <w:szCs w:val="32"/>
          <w:lang w:val="en-US" w:eastAsia="zh-CN"/>
        </w:rPr>
        <w:t>17.10</w:t>
      </w:r>
      <w:r>
        <w:rPr>
          <w:rFonts w:hint="eastAsia" w:ascii="仿宋_GB2312" w:hAnsi="仿宋_GB2312" w:eastAsia="仿宋_GB2312" w:cs="仿宋_GB2312"/>
          <w:color w:val="auto"/>
          <w:sz w:val="32"/>
          <w:szCs w:val="32"/>
          <w:lang w:eastAsia="zh-CN"/>
        </w:rPr>
        <w:t>万元，完成年初预算的</w:t>
      </w:r>
      <w:r>
        <w:rPr>
          <w:rFonts w:hint="eastAsia" w:ascii="仿宋_GB2312" w:hAnsi="仿宋_GB2312" w:eastAsia="仿宋_GB2312" w:cs="仿宋_GB2312"/>
          <w:color w:val="auto"/>
          <w:sz w:val="32"/>
          <w:szCs w:val="32"/>
          <w:lang w:val="en-US" w:eastAsia="zh-CN"/>
        </w:rPr>
        <w:t>0.57</w:t>
      </w:r>
      <w:r>
        <w:rPr>
          <w:rFonts w:hint="eastAsia" w:ascii="仿宋_GB2312" w:hAnsi="仿宋_GB2312" w:eastAsia="仿宋_GB2312" w:cs="仿宋_GB2312"/>
          <w:color w:val="auto"/>
          <w:sz w:val="32"/>
          <w:szCs w:val="32"/>
          <w:lang w:eastAsia="zh-CN"/>
        </w:rPr>
        <w:t>%。决算数小于预算数，我局整合链路，信息系统运行的维护成本降低。</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公共安全支出（类）公安（款）执法办案（项）</w:t>
      </w:r>
      <w:r>
        <w:rPr>
          <w:rFonts w:hint="eastAsia" w:ascii="仿宋_GB2312" w:hAnsi="仿宋_GB2312" w:eastAsia="仿宋_GB2312" w:cs="仿宋_GB2312"/>
          <w:color w:val="auto"/>
          <w:sz w:val="32"/>
          <w:szCs w:val="32"/>
          <w:lang w:eastAsia="zh-CN"/>
        </w:rPr>
        <w:t>。年初预算为</w:t>
      </w:r>
      <w:r>
        <w:rPr>
          <w:rFonts w:hint="eastAsia" w:ascii="仿宋_GB2312" w:hAnsi="仿宋_GB2312" w:eastAsia="仿宋_GB2312" w:cs="仿宋_GB2312"/>
          <w:color w:val="auto"/>
          <w:sz w:val="32"/>
          <w:szCs w:val="32"/>
          <w:lang w:val="en-US" w:eastAsia="zh-CN"/>
        </w:rPr>
        <w:t>268.75万</w:t>
      </w:r>
      <w:r>
        <w:rPr>
          <w:rFonts w:hint="eastAsia" w:ascii="仿宋_GB2312" w:hAnsi="仿宋_GB2312" w:eastAsia="仿宋_GB2312" w:cs="仿宋_GB2312"/>
          <w:color w:val="auto"/>
          <w:sz w:val="32"/>
          <w:szCs w:val="32"/>
          <w:lang w:eastAsia="zh-CN"/>
        </w:rPr>
        <w:t>元，支出决算为</w:t>
      </w:r>
      <w:r>
        <w:rPr>
          <w:rFonts w:hint="eastAsia" w:ascii="仿宋_GB2312" w:hAnsi="仿宋_GB2312" w:eastAsia="仿宋_GB2312" w:cs="仿宋_GB2312"/>
          <w:color w:val="auto"/>
          <w:sz w:val="32"/>
          <w:szCs w:val="32"/>
          <w:lang w:val="en-US" w:eastAsia="zh-CN"/>
        </w:rPr>
        <w:t>326.63</w:t>
      </w:r>
      <w:r>
        <w:rPr>
          <w:rFonts w:hint="eastAsia" w:ascii="仿宋_GB2312" w:hAnsi="仿宋_GB2312" w:eastAsia="仿宋_GB2312" w:cs="仿宋_GB2312"/>
          <w:color w:val="auto"/>
          <w:sz w:val="32"/>
          <w:szCs w:val="32"/>
          <w:lang w:eastAsia="zh-CN"/>
        </w:rPr>
        <w:t>万元，完成年初预算的</w:t>
      </w:r>
      <w:r>
        <w:rPr>
          <w:rFonts w:hint="eastAsia" w:ascii="仿宋_GB2312" w:hAnsi="仿宋_GB2312" w:eastAsia="仿宋_GB2312" w:cs="仿宋_GB2312"/>
          <w:color w:val="auto"/>
          <w:sz w:val="32"/>
          <w:szCs w:val="32"/>
          <w:lang w:val="en-US" w:eastAsia="zh-CN"/>
        </w:rPr>
        <w:t>121.54</w:t>
      </w:r>
      <w:r>
        <w:rPr>
          <w:rFonts w:hint="eastAsia" w:ascii="仿宋_GB2312" w:hAnsi="仿宋_GB2312" w:eastAsia="仿宋_GB2312" w:cs="仿宋_GB2312"/>
          <w:color w:val="auto"/>
          <w:sz w:val="32"/>
          <w:szCs w:val="32"/>
          <w:lang w:eastAsia="zh-CN"/>
        </w:rPr>
        <w:t>%。决算数大于预算数的主要原因：本年度办案开支增大。</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公共安全支出（类）公安（款）其他公安支出（项）</w:t>
      </w:r>
      <w:r>
        <w:rPr>
          <w:rFonts w:hint="eastAsia" w:ascii="仿宋_GB2312" w:hAnsi="仿宋_GB2312" w:eastAsia="仿宋_GB2312" w:cs="仿宋_GB2312"/>
          <w:color w:val="auto"/>
          <w:sz w:val="32"/>
          <w:szCs w:val="32"/>
          <w:lang w:eastAsia="zh-CN"/>
        </w:rPr>
        <w:t>。年初预算为</w:t>
      </w:r>
      <w:r>
        <w:rPr>
          <w:rFonts w:hint="eastAsia" w:ascii="仿宋_GB2312" w:hAnsi="仿宋_GB2312" w:eastAsia="仿宋_GB2312" w:cs="仿宋_GB2312"/>
          <w:color w:val="auto"/>
          <w:sz w:val="32"/>
          <w:szCs w:val="32"/>
          <w:lang w:val="en-US" w:eastAsia="zh-CN"/>
        </w:rPr>
        <w:t>190.15万</w:t>
      </w:r>
      <w:r>
        <w:rPr>
          <w:rFonts w:hint="eastAsia" w:ascii="仿宋_GB2312" w:hAnsi="仿宋_GB2312" w:eastAsia="仿宋_GB2312" w:cs="仿宋_GB2312"/>
          <w:color w:val="auto"/>
          <w:sz w:val="32"/>
          <w:szCs w:val="32"/>
          <w:lang w:eastAsia="zh-CN"/>
        </w:rPr>
        <w:t>元，支出决算为</w:t>
      </w:r>
      <w:r>
        <w:rPr>
          <w:rFonts w:hint="eastAsia" w:ascii="仿宋_GB2312" w:hAnsi="仿宋_GB2312" w:eastAsia="仿宋_GB2312" w:cs="仿宋_GB2312"/>
          <w:color w:val="auto"/>
          <w:sz w:val="32"/>
          <w:szCs w:val="32"/>
          <w:lang w:val="en-US" w:eastAsia="zh-CN"/>
        </w:rPr>
        <w:t>117.61</w:t>
      </w:r>
      <w:r>
        <w:rPr>
          <w:rFonts w:hint="eastAsia" w:ascii="仿宋_GB2312" w:hAnsi="仿宋_GB2312" w:eastAsia="仿宋_GB2312" w:cs="仿宋_GB2312"/>
          <w:color w:val="auto"/>
          <w:sz w:val="32"/>
          <w:szCs w:val="32"/>
          <w:lang w:eastAsia="zh-CN"/>
        </w:rPr>
        <w:t>万元，完成年初预算的</w:t>
      </w:r>
      <w:r>
        <w:rPr>
          <w:rFonts w:hint="eastAsia" w:ascii="仿宋_GB2312" w:hAnsi="仿宋_GB2312" w:eastAsia="仿宋_GB2312" w:cs="仿宋_GB2312"/>
          <w:color w:val="auto"/>
          <w:sz w:val="32"/>
          <w:szCs w:val="32"/>
          <w:lang w:val="en-US" w:eastAsia="zh-CN"/>
        </w:rPr>
        <w:t>61.85</w:t>
      </w:r>
      <w:r>
        <w:rPr>
          <w:rFonts w:hint="eastAsia" w:ascii="仿宋_GB2312" w:hAnsi="仿宋_GB2312" w:eastAsia="仿宋_GB2312" w:cs="仿宋_GB2312"/>
          <w:color w:val="auto"/>
          <w:sz w:val="32"/>
          <w:szCs w:val="32"/>
          <w:lang w:eastAsia="zh-CN"/>
        </w:rPr>
        <w:t>%。决算数大于预算数的主要原因：本年度我局公安业务支出减少，购置的警用设备和装备减少</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bCs/>
          <w:color w:val="auto"/>
          <w:sz w:val="32"/>
          <w:szCs w:val="32"/>
          <w:lang w:eastAsia="zh-CN"/>
        </w:rPr>
        <w:t>社会保障和就业支出（类）行政事业单位养老支出（款）机关事业单位基本养老保险缴费支出（项）</w:t>
      </w:r>
      <w:r>
        <w:rPr>
          <w:rFonts w:hint="eastAsia" w:ascii="仿宋_GB2312" w:hAnsi="仿宋_GB2312" w:eastAsia="仿宋_GB2312" w:cs="仿宋_GB2312"/>
          <w:color w:val="auto"/>
          <w:sz w:val="32"/>
          <w:szCs w:val="32"/>
          <w:lang w:eastAsia="zh-CN"/>
        </w:rPr>
        <w:t>。年初预算为</w:t>
      </w:r>
      <w:r>
        <w:rPr>
          <w:rFonts w:hint="eastAsia" w:ascii="仿宋_GB2312" w:hAnsi="仿宋_GB2312" w:eastAsia="仿宋_GB2312" w:cs="仿宋_GB2312"/>
          <w:color w:val="auto"/>
          <w:sz w:val="32"/>
          <w:szCs w:val="32"/>
          <w:lang w:val="en-US" w:eastAsia="zh-CN"/>
        </w:rPr>
        <w:t>156.11万</w:t>
      </w:r>
      <w:r>
        <w:rPr>
          <w:rFonts w:hint="eastAsia" w:ascii="仿宋_GB2312" w:hAnsi="仿宋_GB2312" w:eastAsia="仿宋_GB2312" w:cs="仿宋_GB2312"/>
          <w:color w:val="auto"/>
          <w:sz w:val="32"/>
          <w:szCs w:val="32"/>
          <w:lang w:eastAsia="zh-CN"/>
        </w:rPr>
        <w:t>元，支出决算为</w:t>
      </w:r>
      <w:r>
        <w:rPr>
          <w:rFonts w:hint="eastAsia" w:ascii="仿宋_GB2312" w:hAnsi="仿宋_GB2312" w:eastAsia="仿宋_GB2312" w:cs="仿宋_GB2312"/>
          <w:color w:val="auto"/>
          <w:sz w:val="32"/>
          <w:szCs w:val="32"/>
          <w:lang w:val="en-US" w:eastAsia="zh-CN"/>
        </w:rPr>
        <w:t>154.92</w:t>
      </w:r>
      <w:r>
        <w:rPr>
          <w:rFonts w:hint="eastAsia" w:ascii="仿宋_GB2312" w:hAnsi="仿宋_GB2312" w:eastAsia="仿宋_GB2312" w:cs="仿宋_GB2312"/>
          <w:color w:val="auto"/>
          <w:sz w:val="32"/>
          <w:szCs w:val="32"/>
          <w:lang w:eastAsia="zh-CN"/>
        </w:rPr>
        <w:t>万元，完成年初预算的</w:t>
      </w:r>
      <w:r>
        <w:rPr>
          <w:rFonts w:hint="eastAsia" w:ascii="仿宋_GB2312" w:hAnsi="仿宋_GB2312" w:eastAsia="仿宋_GB2312" w:cs="仿宋_GB2312"/>
          <w:color w:val="auto"/>
          <w:sz w:val="32"/>
          <w:szCs w:val="32"/>
          <w:lang w:val="en-US" w:eastAsia="zh-CN"/>
        </w:rPr>
        <w:t>99.24</w:t>
      </w:r>
      <w:r>
        <w:rPr>
          <w:rFonts w:hint="eastAsia" w:ascii="仿宋_GB2312" w:hAnsi="仿宋_GB2312" w:eastAsia="仿宋_GB2312" w:cs="仿宋_GB2312"/>
          <w:color w:val="auto"/>
          <w:sz w:val="32"/>
          <w:szCs w:val="32"/>
          <w:lang w:eastAsia="zh-CN"/>
        </w:rPr>
        <w:t>%。决算数小于预算数的主要原因：</w:t>
      </w:r>
      <w:r>
        <w:rPr>
          <w:rFonts w:hint="eastAsia" w:ascii="仿宋_GB2312" w:hAnsi="仿宋_GB2312" w:eastAsia="仿宋_GB2312" w:cs="仿宋_GB2312"/>
          <w:b w:val="0"/>
          <w:bCs w:val="0"/>
          <w:color w:val="auto"/>
          <w:sz w:val="32"/>
          <w:szCs w:val="32"/>
          <w:lang w:val="en-US" w:eastAsia="zh-CN"/>
        </w:rPr>
        <w:t>2025年12月份的社保费未在当月转回基本户。</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社会保障和就业支出（类）行政事业单位养老支出（款）机关事业单位职业年金缴费支出（项）</w:t>
      </w:r>
      <w:r>
        <w:rPr>
          <w:rFonts w:hint="eastAsia" w:ascii="仿宋_GB2312" w:hAnsi="仿宋_GB2312" w:eastAsia="仿宋_GB2312" w:cs="仿宋_GB2312"/>
          <w:color w:val="auto"/>
          <w:sz w:val="32"/>
          <w:szCs w:val="32"/>
          <w:lang w:eastAsia="zh-CN"/>
        </w:rPr>
        <w:t>。年初预算为</w:t>
      </w:r>
      <w:r>
        <w:rPr>
          <w:rFonts w:hint="eastAsia" w:ascii="仿宋_GB2312" w:hAnsi="仿宋_GB2312" w:eastAsia="仿宋_GB2312" w:cs="仿宋_GB2312"/>
          <w:color w:val="auto"/>
          <w:sz w:val="32"/>
          <w:szCs w:val="32"/>
          <w:lang w:val="en-US" w:eastAsia="zh-CN"/>
        </w:rPr>
        <w:t>78.06万</w:t>
      </w:r>
      <w:r>
        <w:rPr>
          <w:rFonts w:hint="eastAsia" w:ascii="仿宋_GB2312" w:hAnsi="仿宋_GB2312" w:eastAsia="仿宋_GB2312" w:cs="仿宋_GB2312"/>
          <w:color w:val="auto"/>
          <w:sz w:val="32"/>
          <w:szCs w:val="32"/>
          <w:lang w:eastAsia="zh-CN"/>
        </w:rPr>
        <w:t>元，支出决算为</w:t>
      </w:r>
      <w:r>
        <w:rPr>
          <w:rFonts w:hint="eastAsia" w:ascii="仿宋_GB2312" w:hAnsi="仿宋_GB2312" w:eastAsia="仿宋_GB2312" w:cs="仿宋_GB2312"/>
          <w:color w:val="auto"/>
          <w:sz w:val="32"/>
          <w:szCs w:val="32"/>
          <w:lang w:val="en-US" w:eastAsia="zh-CN"/>
        </w:rPr>
        <w:t>71.70</w:t>
      </w:r>
      <w:r>
        <w:rPr>
          <w:rFonts w:hint="eastAsia" w:ascii="仿宋_GB2312" w:hAnsi="仿宋_GB2312" w:eastAsia="仿宋_GB2312" w:cs="仿宋_GB2312"/>
          <w:color w:val="auto"/>
          <w:sz w:val="32"/>
          <w:szCs w:val="32"/>
          <w:lang w:eastAsia="zh-CN"/>
        </w:rPr>
        <w:t>万元，完成年初预算的</w:t>
      </w:r>
      <w:r>
        <w:rPr>
          <w:rFonts w:hint="eastAsia" w:ascii="仿宋_GB2312" w:hAnsi="仿宋_GB2312" w:eastAsia="仿宋_GB2312" w:cs="仿宋_GB2312"/>
          <w:color w:val="auto"/>
          <w:sz w:val="32"/>
          <w:szCs w:val="32"/>
          <w:lang w:val="en-US" w:eastAsia="zh-CN"/>
        </w:rPr>
        <w:t>91.85</w:t>
      </w:r>
      <w:r>
        <w:rPr>
          <w:rFonts w:hint="eastAsia" w:ascii="仿宋_GB2312" w:hAnsi="仿宋_GB2312" w:eastAsia="仿宋_GB2312" w:cs="仿宋_GB2312"/>
          <w:color w:val="auto"/>
          <w:sz w:val="32"/>
          <w:szCs w:val="32"/>
          <w:lang w:eastAsia="zh-CN"/>
        </w:rPr>
        <w:t>%。决算数小于预算数的主要原因：2025年12月份的职业年金未在当月转回基本户。</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卫生健康支出（类）行政事业单位医疗（款）行政单位医（项）</w:t>
      </w:r>
      <w:r>
        <w:rPr>
          <w:rFonts w:hint="eastAsia" w:ascii="仿宋_GB2312" w:hAnsi="仿宋_GB2312" w:eastAsia="仿宋_GB2312" w:cs="仿宋_GB2312"/>
          <w:color w:val="auto"/>
          <w:sz w:val="32"/>
          <w:szCs w:val="32"/>
          <w:lang w:eastAsia="zh-CN"/>
        </w:rPr>
        <w:t>。年初预算为</w:t>
      </w:r>
      <w:r>
        <w:rPr>
          <w:rFonts w:hint="eastAsia" w:ascii="仿宋_GB2312" w:hAnsi="仿宋_GB2312" w:eastAsia="仿宋_GB2312" w:cs="仿宋_GB2312"/>
          <w:color w:val="auto"/>
          <w:sz w:val="32"/>
          <w:szCs w:val="32"/>
          <w:lang w:val="en-US" w:eastAsia="zh-CN"/>
        </w:rPr>
        <w:t>70.18</w:t>
      </w:r>
      <w:r>
        <w:rPr>
          <w:rFonts w:hint="eastAsia" w:ascii="仿宋_GB2312" w:hAnsi="仿宋_GB2312" w:eastAsia="仿宋_GB2312" w:cs="仿宋_GB2312"/>
          <w:color w:val="auto"/>
          <w:sz w:val="32"/>
          <w:szCs w:val="32"/>
          <w:lang w:eastAsia="zh-CN"/>
        </w:rPr>
        <w:t>万元，支出决算为</w:t>
      </w:r>
      <w:r>
        <w:rPr>
          <w:rFonts w:hint="eastAsia" w:ascii="仿宋_GB2312" w:hAnsi="仿宋_GB2312" w:eastAsia="仿宋_GB2312" w:cs="仿宋_GB2312"/>
          <w:color w:val="auto"/>
          <w:sz w:val="32"/>
          <w:szCs w:val="32"/>
          <w:lang w:val="en-US" w:eastAsia="zh-CN"/>
        </w:rPr>
        <w:t>56.02</w:t>
      </w:r>
      <w:r>
        <w:rPr>
          <w:rFonts w:hint="eastAsia" w:ascii="仿宋_GB2312" w:hAnsi="仿宋_GB2312" w:eastAsia="仿宋_GB2312" w:cs="仿宋_GB2312"/>
          <w:color w:val="auto"/>
          <w:sz w:val="32"/>
          <w:szCs w:val="32"/>
          <w:lang w:eastAsia="zh-CN"/>
        </w:rPr>
        <w:t>万元，完成年初预算的</w:t>
      </w:r>
      <w:r>
        <w:rPr>
          <w:rFonts w:hint="eastAsia" w:ascii="仿宋_GB2312" w:hAnsi="仿宋_GB2312" w:eastAsia="仿宋_GB2312" w:cs="仿宋_GB2312"/>
          <w:color w:val="auto"/>
          <w:sz w:val="32"/>
          <w:szCs w:val="32"/>
          <w:lang w:val="en-US" w:eastAsia="zh-CN"/>
        </w:rPr>
        <w:t>79.82</w:t>
      </w:r>
      <w:r>
        <w:rPr>
          <w:rFonts w:hint="eastAsia" w:ascii="仿宋_GB2312" w:hAnsi="仿宋_GB2312" w:eastAsia="仿宋_GB2312" w:cs="仿宋_GB2312"/>
          <w:color w:val="auto"/>
          <w:sz w:val="32"/>
          <w:szCs w:val="32"/>
          <w:lang w:eastAsia="zh-CN"/>
        </w:rPr>
        <w:t>%。决算数小于于预算数的主要原因：2025年12月份的社保费未在当月转回基本户。</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卫生健康支出（类）行政事业单位医疗（款）公务员医疗补助（项）</w:t>
      </w:r>
      <w:r>
        <w:rPr>
          <w:rFonts w:hint="eastAsia" w:ascii="仿宋_GB2312" w:hAnsi="仿宋_GB2312" w:eastAsia="仿宋_GB2312" w:cs="仿宋_GB2312"/>
          <w:color w:val="auto"/>
          <w:sz w:val="32"/>
          <w:szCs w:val="32"/>
          <w:lang w:eastAsia="zh-CN"/>
        </w:rPr>
        <w:t>。年初预算为</w:t>
      </w:r>
      <w:r>
        <w:rPr>
          <w:rFonts w:hint="eastAsia" w:ascii="仿宋_GB2312" w:hAnsi="仿宋_GB2312" w:eastAsia="仿宋_GB2312" w:cs="仿宋_GB2312"/>
          <w:color w:val="auto"/>
          <w:sz w:val="32"/>
          <w:szCs w:val="32"/>
          <w:lang w:val="en-US" w:eastAsia="zh-CN"/>
        </w:rPr>
        <w:t>250.98</w:t>
      </w:r>
      <w:r>
        <w:rPr>
          <w:rFonts w:hint="eastAsia" w:ascii="仿宋_GB2312" w:hAnsi="仿宋_GB2312" w:eastAsia="仿宋_GB2312" w:cs="仿宋_GB2312"/>
          <w:color w:val="auto"/>
          <w:sz w:val="32"/>
          <w:szCs w:val="32"/>
          <w:lang w:eastAsia="zh-CN"/>
        </w:rPr>
        <w:t>万元，支出决算为</w:t>
      </w:r>
      <w:r>
        <w:rPr>
          <w:rFonts w:hint="eastAsia" w:ascii="仿宋_GB2312" w:hAnsi="仿宋_GB2312" w:eastAsia="仿宋_GB2312" w:cs="仿宋_GB2312"/>
          <w:color w:val="auto"/>
          <w:sz w:val="32"/>
          <w:szCs w:val="32"/>
          <w:lang w:val="en-US" w:eastAsia="zh-CN"/>
        </w:rPr>
        <w:t>180.75</w:t>
      </w:r>
      <w:r>
        <w:rPr>
          <w:rFonts w:hint="eastAsia" w:ascii="仿宋_GB2312" w:hAnsi="仿宋_GB2312" w:eastAsia="仿宋_GB2312" w:cs="仿宋_GB2312"/>
          <w:color w:val="auto"/>
          <w:sz w:val="32"/>
          <w:szCs w:val="32"/>
          <w:lang w:eastAsia="zh-CN"/>
        </w:rPr>
        <w:t>元，完成年初预算的</w:t>
      </w:r>
      <w:r>
        <w:rPr>
          <w:rFonts w:hint="eastAsia" w:ascii="仿宋_GB2312" w:hAnsi="仿宋_GB2312" w:eastAsia="仿宋_GB2312" w:cs="仿宋_GB2312"/>
          <w:color w:val="auto"/>
          <w:sz w:val="32"/>
          <w:szCs w:val="32"/>
          <w:lang w:val="en-US" w:eastAsia="zh-CN"/>
        </w:rPr>
        <w:t>72.02</w:t>
      </w:r>
      <w:r>
        <w:rPr>
          <w:rFonts w:hint="eastAsia" w:ascii="仿宋_GB2312" w:hAnsi="仿宋_GB2312" w:eastAsia="仿宋_GB2312" w:cs="仿宋_GB2312"/>
          <w:color w:val="auto"/>
          <w:sz w:val="32"/>
          <w:szCs w:val="32"/>
          <w:lang w:eastAsia="zh-CN"/>
        </w:rPr>
        <w:t>%。决算数小于预算数的主要原因：</w:t>
      </w:r>
      <w:r>
        <w:rPr>
          <w:rFonts w:hint="eastAsia" w:ascii="仿宋_GB2312" w:hAnsi="仿宋_GB2312" w:eastAsia="仿宋_GB2312" w:cs="仿宋_GB2312"/>
          <w:color w:val="auto"/>
          <w:sz w:val="32"/>
          <w:szCs w:val="32"/>
          <w:lang w:val="en-US" w:eastAsia="zh-CN"/>
        </w:rPr>
        <w:t>在编制2025年度预算时，考虑到可预见的人员增加和正常晋升人次增多导致的基本支出增大，适度放大了该项目的预算，该项目的部分预算经费年末被调剂用于发放工资</w:t>
      </w:r>
      <w:r>
        <w:rPr>
          <w:rFonts w:hint="eastAsia" w:ascii="仿宋_GB2312" w:hAnsi="仿宋_GB2312" w:eastAsia="仿宋_GB2312" w:cs="仿宋_GB2312"/>
          <w:color w:val="auto"/>
          <w:sz w:val="32"/>
          <w:szCs w:val="32"/>
          <w:lang w:eastAsia="zh-CN"/>
        </w:rPr>
        <w:t>。</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eastAsia="zh-CN"/>
        </w:rPr>
        <w:t>住房保障支出（类）住房改革支出（款）住房公积金（项）</w:t>
      </w:r>
      <w:r>
        <w:rPr>
          <w:rFonts w:hint="eastAsia" w:ascii="仿宋_GB2312" w:hAnsi="仿宋_GB2312" w:eastAsia="仿宋_GB2312" w:cs="仿宋_GB2312"/>
          <w:color w:val="auto"/>
          <w:sz w:val="32"/>
          <w:szCs w:val="32"/>
          <w:lang w:eastAsia="zh-CN"/>
        </w:rPr>
        <w:t>。年初预算为</w:t>
      </w:r>
      <w:r>
        <w:rPr>
          <w:rFonts w:hint="eastAsia" w:ascii="仿宋_GB2312" w:hAnsi="仿宋_GB2312" w:eastAsia="仿宋_GB2312" w:cs="仿宋_GB2312"/>
          <w:color w:val="auto"/>
          <w:sz w:val="32"/>
          <w:szCs w:val="32"/>
          <w:lang w:val="en-US" w:eastAsia="zh-CN"/>
        </w:rPr>
        <w:t>145.17</w:t>
      </w:r>
      <w:r>
        <w:rPr>
          <w:rFonts w:hint="eastAsia" w:ascii="仿宋_GB2312" w:hAnsi="仿宋_GB2312" w:eastAsia="仿宋_GB2312" w:cs="仿宋_GB2312"/>
          <w:color w:val="auto"/>
          <w:sz w:val="32"/>
          <w:szCs w:val="32"/>
          <w:lang w:eastAsia="zh-CN"/>
        </w:rPr>
        <w:t>万元，支出决算为</w:t>
      </w:r>
      <w:r>
        <w:rPr>
          <w:rFonts w:hint="eastAsia" w:ascii="仿宋_GB2312" w:hAnsi="仿宋_GB2312" w:eastAsia="仿宋_GB2312" w:cs="仿宋_GB2312"/>
          <w:color w:val="auto"/>
          <w:sz w:val="32"/>
          <w:szCs w:val="32"/>
          <w:lang w:val="en-US" w:eastAsia="zh-CN"/>
        </w:rPr>
        <w:t>160.07</w:t>
      </w:r>
      <w:r>
        <w:rPr>
          <w:rFonts w:hint="eastAsia" w:ascii="仿宋_GB2312" w:hAnsi="仿宋_GB2312" w:eastAsia="仿宋_GB2312" w:cs="仿宋_GB2312"/>
          <w:color w:val="auto"/>
          <w:sz w:val="32"/>
          <w:szCs w:val="32"/>
          <w:lang w:eastAsia="zh-CN"/>
        </w:rPr>
        <w:t>万元，完成年初预算的</w:t>
      </w:r>
      <w:r>
        <w:rPr>
          <w:rFonts w:hint="eastAsia" w:ascii="仿宋_GB2312" w:hAnsi="仿宋_GB2312" w:eastAsia="仿宋_GB2312" w:cs="仿宋_GB2312"/>
          <w:color w:val="auto"/>
          <w:sz w:val="32"/>
          <w:szCs w:val="32"/>
          <w:lang w:val="en-US" w:eastAsia="zh-CN"/>
        </w:rPr>
        <w:t>110.26</w:t>
      </w:r>
      <w:r>
        <w:rPr>
          <w:rFonts w:hint="eastAsia" w:ascii="仿宋_GB2312" w:hAnsi="仿宋_GB2312" w:eastAsia="仿宋_GB2312" w:cs="仿宋_GB2312"/>
          <w:color w:val="auto"/>
          <w:sz w:val="32"/>
          <w:szCs w:val="32"/>
          <w:lang w:eastAsia="zh-CN"/>
        </w:rPr>
        <w:t>%。决算数大于预算数的主要原因：年初住房公积金基数上调，人员增加。</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rPr>
          <w:rFonts w:hint="eastAsia" w:ascii="黑体" w:hAnsi="黑体" w:eastAsia="黑体" w:cs="黑体"/>
          <w:sz w:val="32"/>
          <w:szCs w:val="32"/>
        </w:rPr>
      </w:pPr>
      <w:r>
        <w:rPr>
          <w:rFonts w:hint="eastAsia" w:ascii="黑体" w:hAnsi="黑体" w:eastAsia="黑体" w:cs="黑体"/>
          <w:bCs/>
          <w:sz w:val="32"/>
          <w:szCs w:val="32"/>
        </w:rPr>
        <w:t>六、一般公共预算财政拨款基本支出决算情况说明</w:t>
      </w:r>
    </w:p>
    <w:p>
      <w:pPr>
        <w:keepNext w:val="0"/>
        <w:keepLines w:val="0"/>
        <w:pageBreakBefore w:val="0"/>
        <w:widowControl w:val="0"/>
        <w:tabs>
          <w:tab w:val="center" w:pos="4473"/>
        </w:tabs>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rPr>
        <w:t>2</w:t>
      </w:r>
      <w:r>
        <w:rPr>
          <w:rFonts w:hint="eastAsia" w:ascii="仿宋_GB2312" w:hAnsi="仿宋_GB2312" w:eastAsia="仿宋_GB2312" w:cs="仿宋_GB2312"/>
          <w:color w:val="auto"/>
          <w:sz w:val="32"/>
          <w:szCs w:val="32"/>
          <w:lang w:val="en-US"/>
        </w:rPr>
        <w:t>025</w:t>
      </w:r>
      <w:r>
        <w:rPr>
          <w:rFonts w:hint="eastAsia" w:ascii="仿宋_GB2312" w:hAnsi="仿宋_GB2312" w:eastAsia="仿宋_GB2312" w:cs="仿宋_GB2312"/>
          <w:color w:val="auto"/>
          <w:sz w:val="32"/>
          <w:szCs w:val="32"/>
        </w:rPr>
        <w:t>年度财政拨款基本支出</w:t>
      </w:r>
      <w:r>
        <w:rPr>
          <w:rFonts w:hint="eastAsia" w:ascii="仿宋_GB2312" w:hAnsi="仿宋_GB2312" w:eastAsia="仿宋_GB2312" w:cs="仿宋_GB2312"/>
          <w:color w:val="auto"/>
          <w:sz w:val="32"/>
          <w:szCs w:val="32"/>
          <w:lang w:val="en-US"/>
        </w:rPr>
        <w:t>2287.44</w:t>
      </w:r>
      <w:r>
        <w:rPr>
          <w:rFonts w:hint="eastAsia" w:ascii="仿宋_GB2312" w:hAnsi="仿宋_GB2312" w:eastAsia="仿宋_GB2312" w:cs="仿宋_GB2312"/>
          <w:color w:val="auto"/>
          <w:sz w:val="32"/>
          <w:szCs w:val="32"/>
        </w:rPr>
        <w:t>万元，其中：人员经费</w:t>
      </w:r>
      <w:r>
        <w:rPr>
          <w:rFonts w:hint="eastAsia" w:ascii="仿宋_GB2312" w:hAnsi="仿宋_GB2312" w:eastAsia="仿宋_GB2312" w:cs="仿宋_GB2312"/>
          <w:color w:val="auto"/>
          <w:sz w:val="32"/>
          <w:szCs w:val="32"/>
          <w:lang w:val="en-US"/>
        </w:rPr>
        <w:t>1977.70</w:t>
      </w:r>
      <w:r>
        <w:rPr>
          <w:rFonts w:hint="eastAsia" w:ascii="仿宋_GB2312" w:hAnsi="仿宋_GB2312" w:eastAsia="仿宋_GB2312" w:cs="仿宋_GB2312"/>
          <w:color w:val="auto"/>
          <w:sz w:val="32"/>
          <w:szCs w:val="32"/>
        </w:rPr>
        <w:t>万元，主要包括：工资福利支出中的基本工资、津贴补贴、奖金、伙食补助费、绩效工资、机关事业单位基本养老保险缴费、职业年金缴费、职工基本医疗保险缴费、公务</w:t>
      </w:r>
      <w:r>
        <w:rPr>
          <w:rFonts w:hint="eastAsia" w:ascii="仿宋_GB2312" w:hAnsi="仿宋_GB2312" w:eastAsia="仿宋_GB2312" w:cs="仿宋_GB2312"/>
          <w:sz w:val="32"/>
          <w:szCs w:val="32"/>
        </w:rPr>
        <w:t>员医疗补助缴费、其他社会保障缴费、住房公积金、医疗费、其他工资福利支出；对个人和家庭的补助中的离休费、退休费、退职（役）费、抚恤金、生活补助、救济费、医疗费补助、助学金、奖励金、个人农业生产补贴、代缴社会保险费、其他对个人和家庭的补助。公用经</w:t>
      </w:r>
      <w:r>
        <w:rPr>
          <w:rFonts w:hint="eastAsia" w:ascii="仿宋_GB2312" w:hAnsi="仿宋_GB2312" w:eastAsia="仿宋_GB2312" w:cs="仿宋_GB2312"/>
          <w:color w:val="auto"/>
          <w:sz w:val="32"/>
          <w:szCs w:val="32"/>
        </w:rPr>
        <w:t>费</w:t>
      </w:r>
      <w:r>
        <w:rPr>
          <w:rFonts w:hint="eastAsia" w:ascii="仿宋_GB2312" w:hAnsi="仿宋_GB2312" w:eastAsia="仿宋_GB2312" w:cs="仿宋_GB2312"/>
          <w:color w:val="auto"/>
          <w:sz w:val="32"/>
          <w:szCs w:val="32"/>
          <w:lang w:val="en-US"/>
        </w:rPr>
        <w:t>309.74</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sz w:val="32"/>
          <w:szCs w:val="32"/>
          <w:highlight w:val="none"/>
        </w:rPr>
        <w:t>主要包括：商品和服务支出中的办公费、印刷费、手续费、水费、电费、邮电费、取暖费、物业管理费、差旅费、因公出国（境）费用、维修（护）费、租赁费、会议费、培训费、公务接待费、专用材料费、被装购置费、专用燃料费、劳务费、委托业务费、工会经费、福利费、公务用车运行维护费、其他交通费用、税金及附加费用、其他商品和服务支出；债务利息及费用支出中的国内债务付息及国外债务付息；资本性支出中的房屋建筑物</w:t>
      </w:r>
      <w:r>
        <w:rPr>
          <w:rFonts w:hint="eastAsia" w:ascii="仿宋_GB2312" w:hAnsi="仿宋_GB2312" w:eastAsia="仿宋_GB2312" w:cs="仿宋_GB2312"/>
          <w:sz w:val="32"/>
          <w:szCs w:val="32"/>
          <w:highlight w:val="none"/>
          <w:lang w:eastAsia="zh-CN"/>
        </w:rPr>
        <w:t>购</w:t>
      </w:r>
      <w:r>
        <w:rPr>
          <w:rFonts w:hint="eastAsia" w:ascii="仿宋_GB2312" w:hAnsi="仿宋_GB2312" w:eastAsia="仿宋_GB2312" w:cs="仿宋_GB2312"/>
          <w:sz w:val="32"/>
          <w:szCs w:val="32"/>
          <w:highlight w:val="none"/>
        </w:rPr>
        <w:t>建、办公设备购置、专用设备购置、基础设施建设、大型修缮、信息网络及软件购置更新、物资储备、土地补偿、安置补助、地上附着物和青苗补偿、拆迁补偿、公务用车购置、其他交通工具购置、文物和陈列品购置、无形资产购置、其他资本性支出等；其他支出中的赠予、国家赔偿费用支出、对民间非营利组织和群众性自治组织补贴和其他支出。</w:t>
      </w:r>
    </w:p>
    <w:p>
      <w:pPr>
        <w:keepNext w:val="0"/>
        <w:keepLines w:val="0"/>
        <w:pageBreakBefore w:val="0"/>
        <w:widowControl w:val="0"/>
        <w:tabs>
          <w:tab w:val="center" w:pos="4473"/>
        </w:tabs>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bCs/>
          <w:sz w:val="32"/>
          <w:szCs w:val="32"/>
        </w:rPr>
      </w:pPr>
      <w:r>
        <w:rPr>
          <w:rFonts w:hint="eastAsia" w:ascii="黑体" w:hAnsi="黑体" w:eastAsia="黑体" w:cs="黑体"/>
          <w:bCs/>
          <w:sz w:val="32"/>
          <w:szCs w:val="32"/>
        </w:rPr>
        <w:t>七、政府性基金预算财政拨款支出决算情况说明</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楷体" w:hAnsi="楷体" w:eastAsia="楷体" w:cs="楷体"/>
          <w:sz w:val="32"/>
          <w:szCs w:val="32"/>
        </w:rPr>
      </w:pPr>
      <w:r>
        <w:rPr>
          <w:rFonts w:hint="eastAsia" w:ascii="楷体" w:hAnsi="楷体" w:eastAsia="楷体" w:cs="楷体"/>
          <w:sz w:val="32"/>
          <w:szCs w:val="32"/>
        </w:rPr>
        <w:t>（一）政府性基金预算财政拨款支出决算总体情况</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rPr>
        <w:t>2025</w:t>
      </w:r>
      <w:r>
        <w:rPr>
          <w:rFonts w:hint="eastAsia" w:ascii="仿宋_GB2312" w:hAnsi="仿宋_GB2312" w:eastAsia="仿宋_GB2312" w:cs="仿宋_GB2312"/>
          <w:color w:val="auto"/>
          <w:sz w:val="32"/>
          <w:szCs w:val="32"/>
        </w:rPr>
        <w:t>年度政府性基金预算财政拨款支出</w:t>
      </w:r>
      <w:r>
        <w:rPr>
          <w:rFonts w:hint="eastAsia" w:ascii="仿宋_GB2312" w:hAnsi="仿宋_GB2312" w:eastAsia="仿宋_GB2312" w:cs="仿宋_GB2312"/>
          <w:color w:val="auto"/>
          <w:sz w:val="32"/>
          <w:szCs w:val="32"/>
          <w:lang w:val="en-US"/>
        </w:rPr>
        <w:t>0</w:t>
      </w:r>
      <w:r>
        <w:rPr>
          <w:rFonts w:hint="eastAsia" w:ascii="仿宋_GB2312" w:hAnsi="仿宋_GB2312" w:eastAsia="仿宋_GB2312" w:cs="仿宋_GB2312"/>
          <w:color w:val="auto"/>
          <w:sz w:val="32"/>
          <w:szCs w:val="32"/>
        </w:rPr>
        <w:t>万元，占本年支出合计的</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%。与</w:t>
      </w:r>
      <w:r>
        <w:rPr>
          <w:rFonts w:hint="eastAsia" w:ascii="仿宋_GB2312" w:hAnsi="仿宋_GB2312" w:eastAsia="仿宋_GB2312" w:cs="仿宋_GB2312"/>
          <w:color w:val="auto"/>
          <w:sz w:val="32"/>
          <w:szCs w:val="32"/>
          <w:lang w:val="en-US"/>
        </w:rPr>
        <w:t>2024</w:t>
      </w:r>
      <w:r>
        <w:rPr>
          <w:rFonts w:hint="eastAsia" w:ascii="仿宋_GB2312" w:hAnsi="仿宋_GB2312" w:eastAsia="仿宋_GB2312" w:cs="仿宋_GB2312"/>
          <w:color w:val="auto"/>
          <w:sz w:val="32"/>
          <w:szCs w:val="32"/>
        </w:rPr>
        <w:t>年度相比，政府性基金预算财政拨款支出增加</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万元，增长</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楷体" w:hAnsi="楷体" w:eastAsia="楷体" w:cs="楷体"/>
          <w:sz w:val="32"/>
          <w:szCs w:val="32"/>
        </w:rPr>
      </w:pPr>
      <w:r>
        <w:rPr>
          <w:rFonts w:hint="eastAsia" w:ascii="楷体" w:hAnsi="楷体" w:eastAsia="楷体" w:cs="楷体"/>
          <w:sz w:val="32"/>
          <w:szCs w:val="32"/>
        </w:rPr>
        <w:t>（二）政府性基金预算财政拨款支出决算结构情况</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rPr>
        <w:t>2025</w:t>
      </w:r>
      <w:r>
        <w:rPr>
          <w:rFonts w:hint="eastAsia" w:ascii="仿宋_GB2312" w:hAnsi="仿宋_GB2312" w:eastAsia="仿宋_GB2312" w:cs="仿宋_GB2312"/>
          <w:sz w:val="32"/>
          <w:szCs w:val="32"/>
        </w:rPr>
        <w:t>年度政府性基金预算财政拨款</w:t>
      </w:r>
      <w:r>
        <w:rPr>
          <w:rFonts w:hint="eastAsia" w:ascii="仿宋_GB2312" w:hAnsi="仿宋_GB2312" w:eastAsia="仿宋_GB2312" w:cs="仿宋_GB2312"/>
          <w:color w:val="auto"/>
          <w:sz w:val="32"/>
          <w:szCs w:val="32"/>
        </w:rPr>
        <w:t>支出</w:t>
      </w:r>
      <w:r>
        <w:rPr>
          <w:rFonts w:hint="eastAsia" w:ascii="仿宋_GB2312" w:hAnsi="仿宋_GB2312" w:eastAsia="仿宋_GB2312" w:cs="仿宋_GB2312"/>
          <w:color w:val="auto"/>
          <w:sz w:val="32"/>
          <w:szCs w:val="32"/>
          <w:lang w:val="en-US"/>
        </w:rPr>
        <w:t>0</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楷体" w:hAnsi="楷体" w:eastAsia="楷体" w:cs="楷体"/>
          <w:sz w:val="32"/>
          <w:szCs w:val="32"/>
        </w:rPr>
      </w:pPr>
      <w:r>
        <w:rPr>
          <w:rFonts w:hint="eastAsia" w:ascii="楷体" w:hAnsi="楷体" w:eastAsia="楷体" w:cs="楷体"/>
          <w:sz w:val="32"/>
          <w:szCs w:val="32"/>
        </w:rPr>
        <w:t>（三）政府性基金预算财政拨款支出决算具体情况</w:t>
      </w:r>
    </w:p>
    <w:p>
      <w:pPr>
        <w:keepNext w:val="0"/>
        <w:keepLines w:val="0"/>
        <w:pageBreakBefore w:val="0"/>
        <w:widowControl w:val="0"/>
        <w:tabs>
          <w:tab w:val="center" w:pos="4473"/>
        </w:tabs>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rPr>
        <w:t>20</w:t>
      </w:r>
      <w:r>
        <w:rPr>
          <w:rFonts w:hint="eastAsia" w:ascii="仿宋_GB2312" w:hAnsi="仿宋_GB2312" w:eastAsia="仿宋_GB2312" w:cs="仿宋_GB2312"/>
          <w:color w:val="auto"/>
          <w:sz w:val="32"/>
          <w:szCs w:val="32"/>
          <w:lang w:val="en-US"/>
        </w:rPr>
        <w:t>25</w:t>
      </w:r>
      <w:r>
        <w:rPr>
          <w:rFonts w:hint="eastAsia" w:ascii="仿宋_GB2312" w:hAnsi="仿宋_GB2312" w:eastAsia="仿宋_GB2312" w:cs="仿宋_GB2312"/>
          <w:color w:val="auto"/>
          <w:sz w:val="32"/>
          <w:szCs w:val="32"/>
        </w:rPr>
        <w:t>年度政府性基金预算财政拨款支出年初预算为</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万元，支出决算为</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w:t>
      </w:r>
    </w:p>
    <w:p>
      <w:pPr>
        <w:keepNext w:val="0"/>
        <w:keepLines w:val="0"/>
        <w:pageBreakBefore w:val="0"/>
        <w:widowControl w:val="0"/>
        <w:tabs>
          <w:tab w:val="center" w:pos="4473"/>
        </w:tabs>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bCs/>
          <w:sz w:val="32"/>
          <w:szCs w:val="32"/>
        </w:rPr>
      </w:pPr>
      <w:r>
        <w:rPr>
          <w:rFonts w:hint="eastAsia" w:ascii="黑体" w:hAnsi="黑体" w:eastAsia="黑体" w:cs="黑体"/>
          <w:bCs/>
          <w:sz w:val="32"/>
          <w:szCs w:val="32"/>
        </w:rPr>
        <w:t>八、国有资本经营预算财政拨款支出决算情况说明</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楷体" w:hAnsi="楷体" w:eastAsia="楷体" w:cs="楷体"/>
          <w:sz w:val="32"/>
          <w:szCs w:val="32"/>
        </w:rPr>
      </w:pPr>
      <w:r>
        <w:rPr>
          <w:rFonts w:hint="eastAsia" w:ascii="楷体" w:hAnsi="楷体" w:eastAsia="楷体" w:cs="楷体"/>
          <w:sz w:val="32"/>
          <w:szCs w:val="32"/>
        </w:rPr>
        <w:t>（一）国有资本经营预算财政拨款支出决算总体情况</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rPr>
        <w:t>2025</w:t>
      </w:r>
      <w:r>
        <w:rPr>
          <w:rFonts w:hint="eastAsia" w:ascii="仿宋_GB2312" w:hAnsi="仿宋_GB2312" w:eastAsia="仿宋_GB2312" w:cs="仿宋_GB2312"/>
          <w:color w:val="auto"/>
          <w:sz w:val="32"/>
          <w:szCs w:val="32"/>
        </w:rPr>
        <w:t>年度国有资本经营预算财政拨款支出</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万元，占本年支出合计的</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%。与</w:t>
      </w:r>
      <w:r>
        <w:rPr>
          <w:rFonts w:hint="eastAsia" w:ascii="仿宋_GB2312" w:hAnsi="仿宋_GB2312" w:eastAsia="仿宋_GB2312" w:cs="仿宋_GB2312"/>
          <w:color w:val="auto"/>
          <w:sz w:val="32"/>
          <w:szCs w:val="32"/>
          <w:lang w:val="en-US"/>
        </w:rPr>
        <w:t>2024</w:t>
      </w:r>
      <w:r>
        <w:rPr>
          <w:rFonts w:hint="eastAsia" w:ascii="仿宋_GB2312" w:hAnsi="仿宋_GB2312" w:eastAsia="仿宋_GB2312" w:cs="仿宋_GB2312"/>
          <w:color w:val="auto"/>
          <w:sz w:val="32"/>
          <w:szCs w:val="32"/>
        </w:rPr>
        <w:t>年度相比，国有资本经营预算财政拨款支出增加</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万元，增长</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楷体" w:hAnsi="楷体" w:eastAsia="楷体" w:cs="楷体"/>
          <w:sz w:val="32"/>
          <w:szCs w:val="32"/>
        </w:rPr>
      </w:pPr>
      <w:r>
        <w:rPr>
          <w:rFonts w:hint="eastAsia" w:ascii="楷体" w:hAnsi="楷体" w:eastAsia="楷体" w:cs="楷体"/>
          <w:sz w:val="32"/>
          <w:szCs w:val="32"/>
        </w:rPr>
        <w:t>（二）国有资本经营预算财政拨款支出决算结构情况</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val="en-US"/>
        </w:rPr>
        <w:t>2025</w:t>
      </w:r>
      <w:r>
        <w:rPr>
          <w:rFonts w:hint="eastAsia" w:ascii="仿宋_GB2312" w:hAnsi="仿宋_GB2312" w:eastAsia="仿宋_GB2312" w:cs="仿宋_GB2312"/>
          <w:color w:val="auto"/>
          <w:sz w:val="32"/>
          <w:szCs w:val="32"/>
        </w:rPr>
        <w:t>年度国有资本经营预算财政拨款支出</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楷体" w:hAnsi="楷体" w:eastAsia="楷体" w:cs="楷体"/>
          <w:sz w:val="32"/>
          <w:szCs w:val="32"/>
        </w:rPr>
      </w:pPr>
      <w:r>
        <w:rPr>
          <w:rFonts w:hint="eastAsia" w:ascii="楷体" w:hAnsi="楷体" w:eastAsia="楷体" w:cs="楷体"/>
          <w:sz w:val="32"/>
          <w:szCs w:val="32"/>
        </w:rPr>
        <w:t>（三）国有资本经营预算财政拨款支出决算具体情况</w:t>
      </w:r>
    </w:p>
    <w:p>
      <w:pPr>
        <w:keepNext w:val="0"/>
        <w:keepLines w:val="0"/>
        <w:pageBreakBefore w:val="0"/>
        <w:widowControl w:val="0"/>
        <w:tabs>
          <w:tab w:val="center" w:pos="4473"/>
        </w:tabs>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_GB2312" w:hAnsi="仿宋_GB2312" w:eastAsia="仿宋_GB2312" w:cs="仿宋_GB2312"/>
          <w:color w:val="auto"/>
          <w:sz w:val="32"/>
          <w:szCs w:val="32"/>
          <w:lang w:val="en-US"/>
        </w:rPr>
        <w:t>2025</w:t>
      </w:r>
      <w:r>
        <w:rPr>
          <w:rFonts w:hint="eastAsia" w:ascii="仿宋_GB2312" w:hAnsi="仿宋_GB2312" w:eastAsia="仿宋_GB2312" w:cs="仿宋_GB2312"/>
          <w:color w:val="auto"/>
          <w:sz w:val="32"/>
          <w:szCs w:val="32"/>
        </w:rPr>
        <w:t>年度国有资本经营预算财政拨款支出年初预算为</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万元，支出决算为</w:t>
      </w:r>
      <w:r>
        <w:rPr>
          <w:rFonts w:hint="eastAsia" w:ascii="仿宋_GB2312" w:hAnsi="仿宋_GB2312" w:eastAsia="仿宋_GB2312" w:cs="仿宋_GB2312"/>
          <w:color w:val="auto"/>
          <w:sz w:val="32"/>
          <w:szCs w:val="32"/>
          <w:lang w:val="en-US"/>
        </w:rPr>
        <w:t>0</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ˎ̥" w:eastAsia="楷体_GB2312"/>
          <w:sz w:val="32"/>
          <w:szCs w:val="32"/>
        </w:rPr>
      </w:pPr>
      <w:r>
        <w:rPr>
          <w:rFonts w:hint="eastAsia" w:ascii="黑体" w:hAnsi="黑体" w:eastAsia="黑体" w:cs="黑体"/>
          <w:bCs/>
          <w:sz w:val="32"/>
          <w:szCs w:val="32"/>
        </w:rPr>
        <w:t>九、财政拨款“三公”经费支出决算情况说明</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楷体" w:hAnsi="楷体" w:eastAsia="楷体" w:cs="楷体"/>
          <w:bCs/>
          <w:sz w:val="32"/>
          <w:szCs w:val="32"/>
        </w:rPr>
      </w:pPr>
      <w:r>
        <w:rPr>
          <w:rFonts w:hint="eastAsia" w:ascii="楷体" w:hAnsi="楷体" w:eastAsia="楷体" w:cs="楷体"/>
          <w:bCs/>
          <w:sz w:val="32"/>
          <w:szCs w:val="32"/>
        </w:rPr>
        <w:t>（一）财政拨款“三公”经费支出决算总体情况说明</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_GB2312" w:hAnsi="仿宋_GB2312" w:eastAsia="仿宋_GB2312" w:cs="仿宋_GB2312"/>
          <w:color w:val="auto"/>
          <w:sz w:val="32"/>
          <w:szCs w:val="32"/>
          <w:lang w:val="en-US"/>
        </w:rPr>
        <w:t>2025</w:t>
      </w:r>
      <w:r>
        <w:rPr>
          <w:rFonts w:hint="eastAsia" w:ascii="仿宋_GB2312" w:hAnsi="仿宋_GB2312" w:eastAsia="仿宋_GB2312" w:cs="仿宋_GB2312"/>
          <w:color w:val="auto"/>
          <w:sz w:val="32"/>
          <w:szCs w:val="32"/>
        </w:rPr>
        <w:t>年度财政拨款“三公”经费支出预算为</w:t>
      </w:r>
      <w:r>
        <w:rPr>
          <w:rFonts w:hint="eastAsia" w:ascii="仿宋_GB2312" w:hAnsi="仿宋_GB2312" w:eastAsia="仿宋_GB2312" w:cs="仿宋_GB2312"/>
          <w:color w:val="auto"/>
          <w:sz w:val="32"/>
          <w:szCs w:val="32"/>
          <w:lang w:val="en-US"/>
        </w:rPr>
        <w:t>167.59</w:t>
      </w:r>
      <w:r>
        <w:rPr>
          <w:rFonts w:hint="eastAsia" w:ascii="仿宋_GB2312" w:hAnsi="仿宋_GB2312" w:eastAsia="仿宋_GB2312" w:cs="仿宋_GB2312"/>
          <w:color w:val="auto"/>
          <w:sz w:val="32"/>
          <w:szCs w:val="32"/>
        </w:rPr>
        <w:t>万元，支出决算为</w:t>
      </w:r>
      <w:r>
        <w:rPr>
          <w:rFonts w:hint="eastAsia" w:ascii="仿宋_GB2312" w:hAnsi="仿宋_GB2312" w:eastAsia="仿宋_GB2312" w:cs="仿宋_GB2312"/>
          <w:color w:val="auto"/>
          <w:sz w:val="32"/>
          <w:szCs w:val="32"/>
          <w:lang w:val="en-US"/>
        </w:rPr>
        <w:t>163.87</w:t>
      </w:r>
      <w:r>
        <w:rPr>
          <w:rFonts w:hint="eastAsia" w:ascii="仿宋_GB2312" w:hAnsi="仿宋_GB2312" w:eastAsia="仿宋_GB2312" w:cs="仿宋_GB2312"/>
          <w:color w:val="auto"/>
          <w:sz w:val="32"/>
          <w:szCs w:val="32"/>
        </w:rPr>
        <w:t>万元，完成预算的</w:t>
      </w:r>
      <w:r>
        <w:rPr>
          <w:rFonts w:hint="eastAsia" w:ascii="仿宋_GB2312" w:hAnsi="仿宋_GB2312" w:eastAsia="仿宋_GB2312" w:cs="仿宋_GB2312"/>
          <w:color w:val="auto"/>
          <w:sz w:val="32"/>
          <w:szCs w:val="32"/>
          <w:lang w:val="en-US" w:eastAsia="zh-CN"/>
        </w:rPr>
        <w:t>97.78</w:t>
      </w:r>
      <w:r>
        <w:rPr>
          <w:rFonts w:hint="eastAsia" w:ascii="仿宋_GB2312" w:hAnsi="仿宋_GB2312" w:eastAsia="仿宋_GB2312" w:cs="仿宋_GB2312"/>
          <w:color w:val="auto"/>
          <w:sz w:val="32"/>
          <w:szCs w:val="32"/>
        </w:rPr>
        <w:t>%，与</w:t>
      </w:r>
      <w:r>
        <w:rPr>
          <w:rFonts w:hint="eastAsia" w:ascii="仿宋_GB2312" w:hAnsi="仿宋_GB2312" w:eastAsia="仿宋_GB2312" w:cs="仿宋_GB2312"/>
          <w:color w:val="auto"/>
          <w:sz w:val="32"/>
          <w:szCs w:val="32"/>
          <w:lang w:val="en-US"/>
        </w:rPr>
        <w:t>2024</w:t>
      </w:r>
      <w:r>
        <w:rPr>
          <w:rFonts w:hint="eastAsia" w:ascii="仿宋_GB2312" w:hAnsi="仿宋_GB2312" w:eastAsia="仿宋_GB2312" w:cs="仿宋_GB2312"/>
          <w:color w:val="auto"/>
          <w:sz w:val="32"/>
          <w:szCs w:val="32"/>
        </w:rPr>
        <w:t>年度相比，“三公”经费支出增加</w:t>
      </w:r>
      <w:r>
        <w:rPr>
          <w:rFonts w:hint="eastAsia" w:ascii="仿宋_GB2312" w:hAnsi="仿宋_GB2312" w:eastAsia="仿宋_GB2312" w:cs="仿宋_GB2312"/>
          <w:color w:val="auto"/>
          <w:sz w:val="32"/>
          <w:szCs w:val="32"/>
          <w:lang w:val="en-US" w:eastAsia="zh-CN"/>
        </w:rPr>
        <w:t>144.08</w:t>
      </w:r>
      <w:r>
        <w:rPr>
          <w:rFonts w:hint="eastAsia" w:ascii="仿宋_GB2312" w:hAnsi="仿宋_GB2312" w:eastAsia="仿宋_GB2312" w:cs="仿宋_GB2312"/>
          <w:color w:val="auto"/>
          <w:sz w:val="32"/>
          <w:szCs w:val="32"/>
        </w:rPr>
        <w:t>万元，增长</w:t>
      </w:r>
      <w:r>
        <w:rPr>
          <w:rFonts w:hint="eastAsia" w:ascii="仿宋_GB2312" w:hAnsi="仿宋_GB2312" w:eastAsia="仿宋_GB2312" w:cs="仿宋_GB2312"/>
          <w:color w:val="auto"/>
          <w:sz w:val="32"/>
          <w:szCs w:val="32"/>
          <w:lang w:val="en-US" w:eastAsia="zh-CN"/>
        </w:rPr>
        <w:t>728.04</w:t>
      </w:r>
      <w:r>
        <w:rPr>
          <w:rFonts w:hint="eastAsia" w:ascii="仿宋_GB2312" w:hAnsi="仿宋_GB2312" w:eastAsia="仿宋_GB2312" w:cs="仿宋_GB2312"/>
          <w:color w:val="auto"/>
          <w:sz w:val="32"/>
          <w:szCs w:val="32"/>
        </w:rPr>
        <w:t>%，主要原因是2025年末，出于我单位反恐和安保的需要，市公安局年末拨付我局147.8万元用于</w:t>
      </w:r>
      <w:r>
        <w:rPr>
          <w:rFonts w:hint="eastAsia" w:ascii="仿宋_GB2312" w:hAnsi="仿宋_GB2312" w:eastAsia="仿宋_GB2312" w:cs="仿宋_GB2312"/>
          <w:color w:val="auto"/>
          <w:sz w:val="32"/>
          <w:szCs w:val="32"/>
          <w:lang w:eastAsia="zh-CN"/>
        </w:rPr>
        <w:t>购置</w:t>
      </w:r>
      <w:r>
        <w:rPr>
          <w:rFonts w:hint="eastAsia" w:ascii="仿宋_GB2312" w:hAnsi="仿宋_GB2312" w:eastAsia="仿宋_GB2312" w:cs="仿宋_GB2312"/>
          <w:color w:val="auto"/>
          <w:sz w:val="32"/>
          <w:szCs w:val="32"/>
        </w:rPr>
        <w:t>特种专业技术用车（防暴车）。</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楷体" w:hAnsi="楷体" w:eastAsia="楷体" w:cs="楷体"/>
          <w:sz w:val="32"/>
          <w:szCs w:val="32"/>
        </w:rPr>
      </w:pPr>
      <w:r>
        <w:rPr>
          <w:rFonts w:hint="eastAsia" w:ascii="楷体" w:hAnsi="楷体" w:eastAsia="楷体" w:cs="楷体"/>
          <w:sz w:val="32"/>
          <w:szCs w:val="32"/>
        </w:rPr>
        <w:t>（二）财政拨款“三公”经费支出决算具体情况说明</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rPr>
        <w:t>2025</w:t>
      </w:r>
      <w:r>
        <w:rPr>
          <w:rFonts w:hint="eastAsia" w:ascii="仿宋_GB2312" w:hAnsi="仿宋_GB2312" w:eastAsia="仿宋_GB2312" w:cs="仿宋_GB2312"/>
          <w:color w:val="auto"/>
          <w:sz w:val="32"/>
          <w:szCs w:val="32"/>
        </w:rPr>
        <w:t>年度财政拨款“三公”经费支出决算中，因公出国（境）费</w:t>
      </w:r>
      <w:r>
        <w:rPr>
          <w:rFonts w:hint="eastAsia" w:ascii="仿宋_GB2312" w:hAnsi="仿宋_GB2312" w:eastAsia="仿宋_GB2312" w:cs="仿宋_GB2312"/>
          <w:color w:val="auto"/>
          <w:sz w:val="32"/>
          <w:szCs w:val="32"/>
          <w:lang w:val="en-US" w:eastAsia="zh-CN"/>
        </w:rPr>
        <w:t>用</w:t>
      </w:r>
      <w:r>
        <w:rPr>
          <w:rFonts w:hint="eastAsia" w:ascii="仿宋_GB2312" w:hAnsi="仿宋_GB2312" w:eastAsia="仿宋_GB2312" w:cs="仿宋_GB2312"/>
          <w:color w:val="auto"/>
          <w:sz w:val="32"/>
          <w:szCs w:val="32"/>
        </w:rPr>
        <w:t>支出决算</w:t>
      </w:r>
      <w:r>
        <w:rPr>
          <w:rFonts w:hint="eastAsia" w:ascii="仿宋_GB2312" w:hAnsi="仿宋_GB2312" w:eastAsia="仿宋_GB2312" w:cs="仿宋_GB2312"/>
          <w:color w:val="auto"/>
          <w:sz w:val="32"/>
          <w:szCs w:val="32"/>
          <w:lang w:val="en-US"/>
        </w:rPr>
        <w:t>0</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%；公务用车购置及运行维护费支出决算</w:t>
      </w:r>
      <w:r>
        <w:rPr>
          <w:rFonts w:hint="eastAsia" w:ascii="仿宋_GB2312" w:hAnsi="仿宋_GB2312" w:eastAsia="仿宋_GB2312" w:cs="仿宋_GB2312"/>
          <w:color w:val="auto"/>
          <w:sz w:val="32"/>
          <w:szCs w:val="32"/>
          <w:lang w:val="en-US"/>
        </w:rPr>
        <w:t>163.87</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%；公务接待费支出决算</w:t>
      </w:r>
      <w:r>
        <w:rPr>
          <w:rFonts w:hint="eastAsia" w:ascii="仿宋_GB2312" w:hAnsi="仿宋_GB2312" w:eastAsia="仿宋_GB2312" w:cs="仿宋_GB2312"/>
          <w:color w:val="auto"/>
          <w:sz w:val="32"/>
          <w:szCs w:val="32"/>
          <w:lang w:val="en-US"/>
        </w:rPr>
        <w:t>0</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%。具体情况如下：</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1.因公出国（境）费</w:t>
      </w:r>
      <w:r>
        <w:rPr>
          <w:rFonts w:hint="eastAsia" w:ascii="仿宋_GB2312" w:hAnsi="仿宋_GB2312" w:eastAsia="仿宋_GB2312" w:cs="仿宋_GB2312"/>
          <w:b/>
          <w:color w:val="auto"/>
          <w:sz w:val="32"/>
          <w:szCs w:val="32"/>
          <w:lang w:val="en-US" w:eastAsia="zh-CN"/>
        </w:rPr>
        <w:t>用</w:t>
      </w:r>
      <w:r>
        <w:rPr>
          <w:rFonts w:hint="eastAsia" w:ascii="仿宋_GB2312" w:hAnsi="仿宋_GB2312" w:eastAsia="仿宋_GB2312" w:cs="仿宋_GB2312"/>
          <w:color w:val="auto"/>
          <w:sz w:val="32"/>
          <w:szCs w:val="32"/>
        </w:rPr>
        <w:t>支出</w:t>
      </w:r>
      <w:r>
        <w:rPr>
          <w:rFonts w:hint="eastAsia" w:ascii="仿宋_GB2312" w:hAnsi="仿宋_GB2312" w:eastAsia="仿宋_GB2312" w:cs="仿宋_GB2312"/>
          <w:color w:val="auto"/>
          <w:sz w:val="32"/>
          <w:szCs w:val="32"/>
          <w:lang w:val="en-US"/>
        </w:rPr>
        <w:t>0</w:t>
      </w:r>
      <w:r>
        <w:rPr>
          <w:rFonts w:hint="eastAsia" w:ascii="仿宋_GB2312" w:hAnsi="仿宋_GB2312" w:eastAsia="仿宋_GB2312" w:cs="仿宋_GB2312"/>
          <w:color w:val="auto"/>
          <w:sz w:val="32"/>
          <w:szCs w:val="32"/>
        </w:rPr>
        <w:t>万元。全年安排因公出国（境）团组</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个，因公出国（境）</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人次。</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因公出国（境）费</w:t>
      </w:r>
      <w:r>
        <w:rPr>
          <w:rFonts w:hint="eastAsia" w:ascii="仿宋_GB2312" w:hAnsi="仿宋_GB2312" w:eastAsia="仿宋_GB2312" w:cs="仿宋_GB2312"/>
          <w:color w:val="auto"/>
          <w:sz w:val="32"/>
          <w:szCs w:val="32"/>
          <w:lang w:val="en-US" w:eastAsia="zh-CN"/>
        </w:rPr>
        <w:t>用</w:t>
      </w:r>
      <w:r>
        <w:rPr>
          <w:rFonts w:hint="eastAsia" w:ascii="仿宋_GB2312" w:hAnsi="仿宋_GB2312" w:eastAsia="仿宋_GB2312" w:cs="仿宋_GB2312"/>
          <w:color w:val="auto"/>
          <w:sz w:val="32"/>
          <w:szCs w:val="32"/>
        </w:rPr>
        <w:t>支出决算</w:t>
      </w:r>
      <w:r>
        <w:rPr>
          <w:rFonts w:hint="eastAsia" w:ascii="仿宋_GB2312" w:hAnsi="仿宋_GB2312" w:eastAsia="仿宋_GB2312" w:cs="仿宋_GB2312"/>
          <w:color w:val="auto"/>
          <w:sz w:val="32"/>
          <w:szCs w:val="32"/>
          <w:lang w:val="en-US" w:eastAsia="zh-CN"/>
        </w:rPr>
        <w:t>数</w:t>
      </w:r>
      <w:r>
        <w:rPr>
          <w:rFonts w:hint="eastAsia" w:ascii="仿宋_GB2312" w:hAnsi="仿宋_GB2312" w:eastAsia="仿宋_GB2312" w:cs="仿宋_GB2312"/>
          <w:color w:val="auto"/>
          <w:sz w:val="32"/>
          <w:szCs w:val="32"/>
        </w:rPr>
        <w:t>比预算数增加</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万元。与</w:t>
      </w:r>
      <w:r>
        <w:rPr>
          <w:rFonts w:hint="eastAsia" w:ascii="仿宋_GB2312" w:hAnsi="仿宋_GB2312" w:eastAsia="仿宋_GB2312" w:cs="仿宋_GB2312"/>
          <w:color w:val="auto"/>
          <w:sz w:val="32"/>
          <w:szCs w:val="32"/>
          <w:lang w:val="en-US"/>
        </w:rPr>
        <w:t>2024</w:t>
      </w:r>
      <w:r>
        <w:rPr>
          <w:rFonts w:hint="eastAsia" w:ascii="仿宋_GB2312" w:hAnsi="仿宋_GB2312" w:eastAsia="仿宋_GB2312" w:cs="仿宋_GB2312"/>
          <w:color w:val="auto"/>
          <w:sz w:val="32"/>
          <w:szCs w:val="32"/>
        </w:rPr>
        <w:t>年度相比，因公出国（境）费</w:t>
      </w:r>
      <w:r>
        <w:rPr>
          <w:rFonts w:hint="eastAsia" w:ascii="仿宋_GB2312" w:hAnsi="仿宋_GB2312" w:eastAsia="仿宋_GB2312" w:cs="仿宋_GB2312"/>
          <w:color w:val="auto"/>
          <w:sz w:val="32"/>
          <w:szCs w:val="32"/>
          <w:lang w:val="en-US" w:eastAsia="zh-CN"/>
        </w:rPr>
        <w:t>用</w:t>
      </w:r>
      <w:r>
        <w:rPr>
          <w:rFonts w:hint="eastAsia" w:ascii="仿宋_GB2312" w:hAnsi="仿宋_GB2312" w:eastAsia="仿宋_GB2312" w:cs="仿宋_GB2312"/>
          <w:color w:val="auto"/>
          <w:sz w:val="32"/>
          <w:szCs w:val="32"/>
        </w:rPr>
        <w:t>支出增加</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万元，增长</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2.公务用车购置及运行维护费</w:t>
      </w:r>
      <w:r>
        <w:rPr>
          <w:rFonts w:hint="eastAsia" w:ascii="仿宋_GB2312" w:hAnsi="仿宋_GB2312" w:eastAsia="仿宋_GB2312" w:cs="仿宋_GB2312"/>
          <w:b w:val="0"/>
          <w:bCs/>
          <w:color w:val="auto"/>
          <w:sz w:val="32"/>
          <w:szCs w:val="32"/>
        </w:rPr>
        <w:t>支出</w:t>
      </w:r>
      <w:r>
        <w:rPr>
          <w:rFonts w:hint="eastAsia" w:ascii="仿宋_GB2312" w:hAnsi="仿宋_GB2312" w:eastAsia="仿宋_GB2312" w:cs="仿宋_GB2312"/>
          <w:color w:val="auto"/>
          <w:sz w:val="32"/>
          <w:szCs w:val="32"/>
          <w:lang w:val="en-US"/>
        </w:rPr>
        <w:t>163.87</w:t>
      </w:r>
      <w:r>
        <w:rPr>
          <w:rFonts w:hint="eastAsia" w:ascii="仿宋_GB2312" w:hAnsi="仿宋_GB2312" w:eastAsia="仿宋_GB2312" w:cs="仿宋_GB2312"/>
          <w:color w:val="auto"/>
          <w:sz w:val="32"/>
          <w:szCs w:val="32"/>
        </w:rPr>
        <w:t>万元。其中：</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公务用车购置</w:t>
      </w:r>
      <w:r>
        <w:rPr>
          <w:rFonts w:hint="eastAsia" w:ascii="仿宋_GB2312" w:hAnsi="仿宋_GB2312" w:eastAsia="仿宋_GB2312" w:cs="仿宋_GB2312"/>
          <w:b w:val="0"/>
          <w:bCs/>
          <w:color w:val="auto"/>
          <w:sz w:val="32"/>
          <w:szCs w:val="32"/>
        </w:rPr>
        <w:t>支出</w:t>
      </w:r>
      <w:r>
        <w:rPr>
          <w:rFonts w:hint="eastAsia" w:ascii="仿宋_GB2312" w:hAnsi="仿宋_GB2312" w:eastAsia="仿宋_GB2312" w:cs="仿宋_GB2312"/>
          <w:color w:val="auto"/>
          <w:sz w:val="32"/>
          <w:szCs w:val="32"/>
          <w:lang w:val="en-US"/>
        </w:rPr>
        <w:t>147.80</w:t>
      </w:r>
      <w:r>
        <w:rPr>
          <w:rFonts w:hint="eastAsia" w:ascii="仿宋_GB2312" w:hAnsi="仿宋_GB2312" w:eastAsia="仿宋_GB2312" w:cs="仿宋_GB2312"/>
          <w:color w:val="auto"/>
          <w:sz w:val="32"/>
          <w:szCs w:val="32"/>
        </w:rPr>
        <w:t>万元，全年购置公务用车</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辆，主要用于购置特种专业技术用车（防暴车），年末公务用车保有量</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辆。</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公务用车运行维护费</w:t>
      </w:r>
      <w:r>
        <w:rPr>
          <w:rFonts w:hint="eastAsia" w:ascii="仿宋_GB2312" w:hAnsi="仿宋_GB2312" w:eastAsia="仿宋_GB2312" w:cs="仿宋_GB2312"/>
          <w:color w:val="auto"/>
          <w:sz w:val="32"/>
          <w:szCs w:val="32"/>
        </w:rPr>
        <w:t>支出</w:t>
      </w:r>
      <w:r>
        <w:rPr>
          <w:rFonts w:hint="eastAsia" w:ascii="仿宋_GB2312" w:hAnsi="仿宋_GB2312" w:eastAsia="仿宋_GB2312" w:cs="仿宋_GB2312"/>
          <w:color w:val="auto"/>
          <w:sz w:val="32"/>
          <w:szCs w:val="32"/>
          <w:lang w:val="en-US"/>
        </w:rPr>
        <w:t>16.07</w:t>
      </w:r>
      <w:r>
        <w:rPr>
          <w:rFonts w:hint="eastAsia" w:ascii="仿宋_GB2312" w:hAnsi="仿宋_GB2312" w:eastAsia="仿宋_GB2312" w:cs="仿宋_GB2312"/>
          <w:color w:val="auto"/>
          <w:sz w:val="32"/>
          <w:szCs w:val="32"/>
        </w:rPr>
        <w:t>万元，主要用于执法执勤车辆的维修保养和油料。</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公务用车购置及运行维护费支出决算数</w:t>
      </w:r>
      <w:r>
        <w:rPr>
          <w:rFonts w:hint="eastAsia" w:ascii="仿宋_GB2312" w:hAnsi="仿宋_GB2312" w:eastAsia="仿宋_GB2312" w:cs="仿宋_GB2312"/>
          <w:color w:val="auto"/>
          <w:sz w:val="32"/>
          <w:szCs w:val="32"/>
        </w:rPr>
        <w:t>比预算数减少</w:t>
      </w:r>
      <w:r>
        <w:rPr>
          <w:rFonts w:hint="eastAsia" w:ascii="仿宋_GB2312" w:hAnsi="仿宋_GB2312" w:eastAsia="仿宋_GB2312" w:cs="仿宋_GB2312"/>
          <w:color w:val="auto"/>
          <w:sz w:val="32"/>
          <w:szCs w:val="32"/>
          <w:lang w:val="en-US" w:eastAsia="zh-CN"/>
        </w:rPr>
        <w:t>3.72</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val="en-US" w:eastAsia="zh-CN"/>
        </w:rPr>
        <w:t>完成预算的97.78</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与</w:t>
      </w:r>
      <w:r>
        <w:rPr>
          <w:rFonts w:hint="eastAsia" w:ascii="仿宋_GB2312" w:hAnsi="仿宋_GB2312" w:eastAsia="仿宋_GB2312" w:cs="仿宋_GB2312"/>
          <w:color w:val="auto"/>
          <w:sz w:val="32"/>
          <w:szCs w:val="32"/>
          <w:lang w:val="en-US"/>
        </w:rPr>
        <w:t>2024</w:t>
      </w:r>
      <w:r>
        <w:rPr>
          <w:rFonts w:hint="eastAsia" w:ascii="仿宋_GB2312" w:hAnsi="仿宋_GB2312" w:eastAsia="仿宋_GB2312" w:cs="仿宋_GB2312"/>
          <w:color w:val="auto"/>
          <w:sz w:val="32"/>
          <w:szCs w:val="32"/>
        </w:rPr>
        <w:t>年度相比，</w:t>
      </w:r>
      <w:r>
        <w:rPr>
          <w:rFonts w:hint="eastAsia" w:ascii="仿宋_GB2312" w:hAnsi="仿宋_GB2312" w:eastAsia="仿宋_GB2312" w:cs="仿宋_GB2312"/>
          <w:bCs/>
          <w:color w:val="auto"/>
          <w:sz w:val="32"/>
          <w:szCs w:val="32"/>
        </w:rPr>
        <w:t>公务用车购置及运行维护费</w:t>
      </w:r>
      <w:r>
        <w:rPr>
          <w:rFonts w:hint="eastAsia" w:ascii="仿宋_GB2312" w:hAnsi="仿宋_GB2312" w:eastAsia="仿宋_GB2312" w:cs="仿宋_GB2312"/>
          <w:color w:val="auto"/>
          <w:sz w:val="32"/>
          <w:szCs w:val="32"/>
        </w:rPr>
        <w:t>支出增加</w:t>
      </w:r>
      <w:r>
        <w:rPr>
          <w:rFonts w:hint="eastAsia" w:ascii="仿宋_GB2312" w:hAnsi="仿宋_GB2312" w:eastAsia="仿宋_GB2312" w:cs="仿宋_GB2312"/>
          <w:color w:val="auto"/>
          <w:sz w:val="32"/>
          <w:szCs w:val="32"/>
          <w:lang w:val="en-US" w:eastAsia="zh-CN"/>
        </w:rPr>
        <w:t>144.08</w:t>
      </w:r>
      <w:r>
        <w:rPr>
          <w:rFonts w:hint="eastAsia" w:ascii="仿宋_GB2312" w:hAnsi="仿宋_GB2312" w:eastAsia="仿宋_GB2312" w:cs="仿宋_GB2312"/>
          <w:color w:val="auto"/>
          <w:sz w:val="32"/>
          <w:szCs w:val="32"/>
        </w:rPr>
        <w:t>万元，增长</w:t>
      </w:r>
      <w:r>
        <w:rPr>
          <w:rFonts w:hint="eastAsia" w:ascii="仿宋_GB2312" w:hAnsi="仿宋_GB2312" w:eastAsia="仿宋_GB2312" w:cs="仿宋_GB2312"/>
          <w:color w:val="auto"/>
          <w:sz w:val="32"/>
          <w:szCs w:val="32"/>
          <w:lang w:val="en-US" w:eastAsia="zh-CN"/>
        </w:rPr>
        <w:t>728.04</w:t>
      </w:r>
      <w:r>
        <w:rPr>
          <w:rFonts w:hint="eastAsia" w:ascii="仿宋_GB2312" w:hAnsi="仿宋_GB2312" w:eastAsia="仿宋_GB2312" w:cs="仿宋_GB2312"/>
          <w:color w:val="auto"/>
          <w:sz w:val="32"/>
          <w:szCs w:val="32"/>
        </w:rPr>
        <w:t>%，主要原因是2025年末，出于我单位反恐和安保的需要，市公安局年末拨付我局147.8万元用于购置特种专业技术用车（防暴车）。</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3.公务接待费</w:t>
      </w:r>
      <w:r>
        <w:rPr>
          <w:rFonts w:hint="eastAsia" w:ascii="仿宋_GB2312" w:hAnsi="仿宋_GB2312" w:eastAsia="仿宋_GB2312" w:cs="仿宋_GB2312"/>
          <w:b w:val="0"/>
          <w:bCs/>
          <w:color w:val="auto"/>
          <w:sz w:val="32"/>
          <w:szCs w:val="32"/>
        </w:rPr>
        <w:t>支出</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万元，其中：</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国内接待费</w:t>
      </w:r>
      <w:r>
        <w:rPr>
          <w:rFonts w:hint="eastAsia" w:ascii="仿宋_GB2312" w:hAnsi="仿宋_GB2312" w:eastAsia="仿宋_GB2312" w:cs="仿宋_GB2312"/>
          <w:color w:val="auto"/>
          <w:sz w:val="32"/>
          <w:szCs w:val="32"/>
        </w:rPr>
        <w:t>支出</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万元，国内公务接待</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批次，接待</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人次。</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国（境）外接待费</w:t>
      </w:r>
      <w:r>
        <w:rPr>
          <w:rFonts w:hint="eastAsia" w:ascii="仿宋_GB2312" w:hAnsi="仿宋_GB2312" w:eastAsia="仿宋_GB2312" w:cs="仿宋_GB2312"/>
          <w:color w:val="auto"/>
          <w:sz w:val="32"/>
          <w:szCs w:val="32"/>
        </w:rPr>
        <w:t>支出</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万元，国（境）外公务接待</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批次，接待</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人次。</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bCs/>
          <w:sz w:val="32"/>
          <w:szCs w:val="32"/>
        </w:rPr>
      </w:pPr>
      <w:r>
        <w:rPr>
          <w:rFonts w:hint="eastAsia" w:ascii="黑体" w:hAnsi="黑体" w:eastAsia="黑体" w:cs="黑体"/>
          <w:bCs/>
          <w:sz w:val="32"/>
          <w:szCs w:val="32"/>
        </w:rPr>
        <w:t>十、预算绩效情况说明</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（一）绩效管理工作开展情况</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根据财政预算绩效管理要求，可按照如下格式说明：根据预算管理要求，我部门（单位）组织对</w:t>
      </w:r>
      <w:r>
        <w:rPr>
          <w:rFonts w:hint="eastAsia" w:ascii="仿宋_GB2312" w:hAnsi="仿宋_GB2312" w:eastAsia="仿宋_GB2312" w:cs="仿宋_GB2312"/>
          <w:color w:val="auto"/>
          <w:sz w:val="32"/>
          <w:szCs w:val="32"/>
          <w:lang w:val="en-US"/>
        </w:rPr>
        <w:t>2025</w:t>
      </w:r>
      <w:r>
        <w:rPr>
          <w:rFonts w:hint="eastAsia" w:ascii="仿宋_GB2312" w:hAnsi="仿宋_GB2312" w:eastAsia="仿宋_GB2312" w:cs="仿宋_GB2312"/>
          <w:color w:val="auto"/>
          <w:sz w:val="32"/>
          <w:szCs w:val="32"/>
        </w:rPr>
        <w:t>年度一般公共预算项目支出全面开展绩效自评</w:t>
      </w:r>
      <w:r>
        <w:rPr>
          <w:rFonts w:hint="eastAsia" w:ascii="仿宋_GB2312" w:hAnsi="仿宋_GB2312" w:eastAsia="仿宋_GB2312" w:cs="仿宋_GB2312"/>
          <w:color w:val="auto"/>
          <w:sz w:val="32"/>
          <w:szCs w:val="32"/>
          <w:lang w:val="en-US"/>
        </w:rPr>
        <w:t>,</w:t>
      </w:r>
      <w:r>
        <w:rPr>
          <w:rFonts w:hint="eastAsia" w:ascii="仿宋_GB2312" w:hAnsi="仿宋_GB2312" w:eastAsia="仿宋_GB2312" w:cs="仿宋_GB2312"/>
          <w:color w:val="auto"/>
          <w:sz w:val="32"/>
          <w:szCs w:val="32"/>
          <w:lang w:val="en-US" w:eastAsia="zh-CN"/>
        </w:rPr>
        <w:t>共涉及资金1035.96万元，占一般公共预算项目支出总额的100%，其中，一级项目8个，二级项目0个</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bidi="ar"/>
        </w:rPr>
        <w:t>我单位无政府性基金预算项目和国有资本经营预算项目。</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bidi="ar"/>
        </w:rPr>
      </w:pPr>
      <w:r>
        <w:rPr>
          <w:rFonts w:hint="eastAsia" w:ascii="仿宋_GB2312" w:hAnsi="仿宋_GB2312" w:eastAsia="仿宋_GB2312" w:cs="仿宋_GB2312"/>
          <w:color w:val="auto"/>
          <w:sz w:val="32"/>
          <w:szCs w:val="32"/>
        </w:rPr>
        <w:t>共组织对“</w:t>
      </w:r>
      <w:r>
        <w:rPr>
          <w:rFonts w:hint="eastAsia" w:ascii="仿宋_GB2312" w:hAnsi="仿宋_GB2312" w:eastAsia="仿宋_GB2312" w:cs="仿宋_GB2312"/>
          <w:color w:val="auto"/>
          <w:sz w:val="32"/>
          <w:szCs w:val="32"/>
          <w:lang w:val="en-US" w:eastAsia="zh-CN"/>
        </w:rPr>
        <w:t>办案业务</w:t>
      </w:r>
      <w:r>
        <w:rPr>
          <w:rFonts w:hint="eastAsia" w:ascii="仿宋_GB2312" w:hAnsi="仿宋_GB2312" w:eastAsia="仿宋_GB2312" w:cs="仿宋_GB2312"/>
          <w:color w:val="auto"/>
          <w:sz w:val="32"/>
          <w:szCs w:val="32"/>
        </w:rPr>
        <w:t>”等</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个项目开展了部门评价，</w:t>
      </w:r>
      <w:r>
        <w:rPr>
          <w:rFonts w:hint="eastAsia" w:ascii="仿宋_GB2312" w:hAnsi="仿宋_GB2312" w:eastAsia="仿宋_GB2312" w:cs="仿宋_GB2312"/>
          <w:color w:val="auto"/>
          <w:sz w:val="32"/>
          <w:szCs w:val="32"/>
          <w:lang w:bidi="ar"/>
        </w:rPr>
        <w:t>涉及一般公共预算支出</w:t>
      </w:r>
      <w:r>
        <w:rPr>
          <w:rFonts w:hint="eastAsia" w:ascii="仿宋_GB2312" w:hAnsi="仿宋_GB2312" w:eastAsia="仿宋_GB2312" w:cs="仿宋_GB2312"/>
          <w:color w:val="auto"/>
          <w:sz w:val="32"/>
          <w:szCs w:val="32"/>
          <w:lang w:val="en-US" w:eastAsia="zh-CN" w:bidi="ar"/>
        </w:rPr>
        <w:t>1035.96</w:t>
      </w:r>
      <w:r>
        <w:rPr>
          <w:rFonts w:hint="eastAsia" w:ascii="仿宋_GB2312" w:hAnsi="仿宋_GB2312" w:eastAsia="仿宋_GB2312" w:cs="仿宋_GB2312"/>
          <w:color w:val="auto"/>
          <w:sz w:val="32"/>
          <w:szCs w:val="32"/>
          <w:lang w:bidi="ar"/>
        </w:rPr>
        <w:t>万元，政府性基金预算支出</w:t>
      </w:r>
      <w:r>
        <w:rPr>
          <w:rFonts w:hint="eastAsia" w:ascii="仿宋_GB2312" w:hAnsi="仿宋_GB2312" w:eastAsia="仿宋_GB2312" w:cs="仿宋_GB2312"/>
          <w:color w:val="auto"/>
          <w:sz w:val="32"/>
          <w:szCs w:val="32"/>
          <w:lang w:val="en-US" w:eastAsia="zh-CN" w:bidi="ar"/>
        </w:rPr>
        <w:t>0</w:t>
      </w:r>
      <w:r>
        <w:rPr>
          <w:rFonts w:hint="eastAsia" w:ascii="仿宋_GB2312" w:hAnsi="仿宋_GB2312" w:eastAsia="仿宋_GB2312" w:cs="仿宋_GB2312"/>
          <w:color w:val="auto"/>
          <w:sz w:val="32"/>
          <w:szCs w:val="32"/>
          <w:lang w:bidi="ar"/>
        </w:rPr>
        <w:t>万元，国有资本经营预算支出</w:t>
      </w:r>
      <w:r>
        <w:rPr>
          <w:rFonts w:hint="eastAsia" w:ascii="仿宋_GB2312" w:hAnsi="仿宋_GB2312" w:eastAsia="仿宋_GB2312" w:cs="仿宋_GB2312"/>
          <w:color w:val="auto"/>
          <w:sz w:val="32"/>
          <w:szCs w:val="32"/>
          <w:lang w:val="en-US" w:eastAsia="zh-CN" w:bidi="ar"/>
        </w:rPr>
        <w:t>0</w:t>
      </w:r>
      <w:r>
        <w:rPr>
          <w:rFonts w:hint="eastAsia" w:ascii="仿宋_GB2312" w:hAnsi="仿宋_GB2312" w:eastAsia="仿宋_GB2312" w:cs="仿宋_GB2312"/>
          <w:color w:val="auto"/>
          <w:sz w:val="32"/>
          <w:szCs w:val="32"/>
          <w:lang w:bidi="ar"/>
        </w:rPr>
        <w:t>万元。</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（二）部门决算中项目绩效自评结果</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我部门（单位）在部门决算中反映</w:t>
      </w:r>
      <w:r>
        <w:rPr>
          <w:rFonts w:hint="eastAsia" w:ascii="仿宋_GB2312" w:hAnsi="仿宋_GB2312" w:eastAsia="仿宋_GB2312" w:cs="仿宋_GB2312"/>
          <w:color w:val="auto"/>
          <w:sz w:val="32"/>
          <w:szCs w:val="32"/>
          <w:lang w:val="en-US"/>
        </w:rPr>
        <w:t>“交通道路设施建设及维护”</w:t>
      </w:r>
      <w:r>
        <w:rPr>
          <w:rFonts w:hint="eastAsia" w:ascii="仿宋_GB2312" w:hAnsi="仿宋_GB2312" w:eastAsia="仿宋_GB2312" w:cs="仿宋_GB2312"/>
          <w:color w:val="auto"/>
          <w:sz w:val="32"/>
          <w:szCs w:val="32"/>
        </w:rPr>
        <w:t>项目绩效自评结果。</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rPr>
        <w:t>交通道路设施建设及维护</w:t>
      </w:r>
      <w:r>
        <w:rPr>
          <w:rFonts w:hint="eastAsia" w:ascii="仿宋_GB2312" w:hAnsi="仿宋_GB2312" w:eastAsia="仿宋_GB2312" w:cs="仿宋_GB2312"/>
          <w:color w:val="auto"/>
          <w:sz w:val="32"/>
          <w:szCs w:val="32"/>
        </w:rPr>
        <w:t>项目绩效自评表：</w:t>
      </w:r>
    </w:p>
    <w:tbl>
      <w:tblPr>
        <w:tblStyle w:val="12"/>
        <w:tblpPr w:leftFromText="180" w:rightFromText="180" w:vertAnchor="text" w:horzAnchor="page" w:tblpX="1627" w:tblpY="208"/>
        <w:tblOverlap w:val="never"/>
        <w:tblW w:w="96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79"/>
        <w:gridCol w:w="799"/>
        <w:gridCol w:w="1338"/>
        <w:gridCol w:w="1214"/>
        <w:gridCol w:w="601"/>
        <w:gridCol w:w="570"/>
        <w:gridCol w:w="620"/>
        <w:gridCol w:w="721"/>
        <w:gridCol w:w="794"/>
        <w:gridCol w:w="685"/>
        <w:gridCol w:w="777"/>
        <w:gridCol w:w="7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4" w:hRule="atLeast"/>
        </w:trPr>
        <w:tc>
          <w:tcPr>
            <w:tcW w:w="9640" w:type="dxa"/>
            <w:gridSpan w:val="1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i w:val="0"/>
                <w:color w:val="auto"/>
                <w:sz w:val="40"/>
                <w:szCs w:val="40"/>
                <w:u w:val="none"/>
              </w:rPr>
            </w:pPr>
            <w:r>
              <w:rPr>
                <w:rFonts w:hint="eastAsia" w:ascii="仿宋" w:hAnsi="仿宋" w:eastAsia="仿宋" w:cs="仿宋"/>
                <w:b/>
                <w:i w:val="0"/>
                <w:color w:val="auto"/>
                <w:kern w:val="0"/>
                <w:sz w:val="40"/>
                <w:szCs w:val="40"/>
                <w:u w:val="none"/>
                <w:lang w:val="en-US" w:eastAsia="zh-CN" w:bidi="ar"/>
              </w:rPr>
              <w:t xml:space="preserve">项目支出绩效自评表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4" w:hRule="atLeast"/>
        </w:trPr>
        <w:tc>
          <w:tcPr>
            <w:tcW w:w="77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项目名称:</w:t>
            </w:r>
          </w:p>
        </w:tc>
        <w:tc>
          <w:tcPr>
            <w:tcW w:w="3351"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46020021T000000013707-交通道路设施建设及维护</w:t>
            </w:r>
          </w:p>
        </w:tc>
        <w:tc>
          <w:tcPr>
            <w:tcW w:w="6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填报人:</w:t>
            </w:r>
          </w:p>
        </w:tc>
        <w:tc>
          <w:tcPr>
            <w:tcW w:w="1911"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韦传璋</w:t>
            </w:r>
          </w:p>
        </w:tc>
        <w:tc>
          <w:tcPr>
            <w:tcW w:w="79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联系方式:</w:t>
            </w:r>
          </w:p>
        </w:tc>
        <w:tc>
          <w:tcPr>
            <w:tcW w:w="2204"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18789788518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4" w:hRule="atLeast"/>
        </w:trPr>
        <w:tc>
          <w:tcPr>
            <w:tcW w:w="77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主管部门:</w:t>
            </w:r>
          </w:p>
        </w:tc>
        <w:tc>
          <w:tcPr>
            <w:tcW w:w="3351"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312-三亚市公安局</w:t>
            </w:r>
          </w:p>
        </w:tc>
        <w:tc>
          <w:tcPr>
            <w:tcW w:w="6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实施单位:</w:t>
            </w:r>
          </w:p>
        </w:tc>
        <w:tc>
          <w:tcPr>
            <w:tcW w:w="4909" w:type="dxa"/>
            <w:gridSpan w:val="7"/>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312005-三亚市公安局凤凰机场公安局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4" w:hRule="atLeast"/>
        </w:trPr>
        <w:tc>
          <w:tcPr>
            <w:tcW w:w="77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是否公开：</w:t>
            </w:r>
          </w:p>
        </w:tc>
        <w:tc>
          <w:tcPr>
            <w:tcW w:w="3351"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是</w:t>
            </w:r>
          </w:p>
        </w:tc>
        <w:tc>
          <w:tcPr>
            <w:tcW w:w="6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网址：</w:t>
            </w:r>
          </w:p>
        </w:tc>
        <w:tc>
          <w:tcPr>
            <w:tcW w:w="4909" w:type="dxa"/>
            <w:gridSpan w:val="7"/>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4" w:hRule="atLeast"/>
        </w:trPr>
        <w:tc>
          <w:tcPr>
            <w:tcW w:w="1578"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资金构成(元)</w:t>
            </w:r>
          </w:p>
        </w:tc>
        <w:tc>
          <w:tcPr>
            <w:tcW w:w="133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年初预算数</w:t>
            </w:r>
          </w:p>
        </w:tc>
        <w:tc>
          <w:tcPr>
            <w:tcW w:w="1815"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全年预算数</w:t>
            </w:r>
          </w:p>
        </w:tc>
        <w:tc>
          <w:tcPr>
            <w:tcW w:w="2705" w:type="dxa"/>
            <w:gridSpan w:val="4"/>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执行数</w:t>
            </w:r>
          </w:p>
        </w:tc>
        <w:tc>
          <w:tcPr>
            <w:tcW w:w="6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分值</w:t>
            </w:r>
          </w:p>
        </w:tc>
        <w:tc>
          <w:tcPr>
            <w:tcW w:w="7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执行率（%）</w:t>
            </w:r>
          </w:p>
        </w:tc>
        <w:tc>
          <w:tcPr>
            <w:tcW w:w="74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47" w:hRule="atLeast"/>
        </w:trPr>
        <w:tc>
          <w:tcPr>
            <w:tcW w:w="1578"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资金总额：</w:t>
            </w:r>
          </w:p>
        </w:tc>
        <w:tc>
          <w:tcPr>
            <w:tcW w:w="133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1300000.00</w:t>
            </w:r>
          </w:p>
        </w:tc>
        <w:tc>
          <w:tcPr>
            <w:tcW w:w="1815"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940800.00</w:t>
            </w:r>
          </w:p>
        </w:tc>
        <w:tc>
          <w:tcPr>
            <w:tcW w:w="2705" w:type="dxa"/>
            <w:gridSpan w:val="4"/>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653908.05</w:t>
            </w:r>
          </w:p>
        </w:tc>
        <w:tc>
          <w:tcPr>
            <w:tcW w:w="6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 xml:space="preserve">10 </w:t>
            </w:r>
          </w:p>
        </w:tc>
        <w:tc>
          <w:tcPr>
            <w:tcW w:w="7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69.51</w:t>
            </w:r>
          </w:p>
        </w:tc>
        <w:tc>
          <w:tcPr>
            <w:tcW w:w="74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6.95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47" w:hRule="atLeast"/>
        </w:trPr>
        <w:tc>
          <w:tcPr>
            <w:tcW w:w="1578"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其中：财政资金：</w:t>
            </w:r>
          </w:p>
        </w:tc>
        <w:tc>
          <w:tcPr>
            <w:tcW w:w="133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1300000.00</w:t>
            </w:r>
          </w:p>
        </w:tc>
        <w:tc>
          <w:tcPr>
            <w:tcW w:w="1815"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940800.00</w:t>
            </w:r>
          </w:p>
        </w:tc>
        <w:tc>
          <w:tcPr>
            <w:tcW w:w="2705" w:type="dxa"/>
            <w:gridSpan w:val="4"/>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lang w:val="en-US" w:eastAsia="zh-CN"/>
              </w:rPr>
            </w:pPr>
            <w:r>
              <w:rPr>
                <w:rFonts w:hint="eastAsia" w:ascii="仿宋" w:hAnsi="仿宋" w:eastAsia="仿宋" w:cs="仿宋"/>
                <w:i w:val="0"/>
                <w:color w:val="auto"/>
                <w:sz w:val="22"/>
                <w:szCs w:val="22"/>
                <w:u w:val="none"/>
                <w:lang w:val="en-US" w:eastAsia="zh-CN"/>
              </w:rPr>
              <w:t>653908.05</w:t>
            </w:r>
          </w:p>
        </w:tc>
        <w:tc>
          <w:tcPr>
            <w:tcW w:w="685"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i w:val="0"/>
                <w:color w:val="auto"/>
                <w:sz w:val="22"/>
                <w:szCs w:val="22"/>
                <w:u w:val="none"/>
              </w:rPr>
            </w:pPr>
          </w:p>
        </w:tc>
        <w:tc>
          <w:tcPr>
            <w:tcW w:w="7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lang w:val="en-US" w:eastAsia="zh-CN"/>
              </w:rPr>
            </w:pPr>
            <w:r>
              <w:rPr>
                <w:rFonts w:hint="eastAsia" w:ascii="仿宋" w:hAnsi="仿宋" w:eastAsia="仿宋" w:cs="仿宋"/>
                <w:i w:val="0"/>
                <w:color w:val="auto"/>
                <w:sz w:val="22"/>
                <w:szCs w:val="22"/>
                <w:u w:val="none"/>
                <w:lang w:val="en-US" w:eastAsia="zh-CN"/>
              </w:rPr>
              <w:t>69.51</w:t>
            </w:r>
          </w:p>
        </w:tc>
        <w:tc>
          <w:tcPr>
            <w:tcW w:w="742"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i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47" w:hRule="atLeast"/>
        </w:trPr>
        <w:tc>
          <w:tcPr>
            <w:tcW w:w="1578"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单位资金：</w:t>
            </w:r>
          </w:p>
        </w:tc>
        <w:tc>
          <w:tcPr>
            <w:tcW w:w="133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0</w:t>
            </w:r>
          </w:p>
        </w:tc>
        <w:tc>
          <w:tcPr>
            <w:tcW w:w="1815"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0</w:t>
            </w:r>
          </w:p>
        </w:tc>
        <w:tc>
          <w:tcPr>
            <w:tcW w:w="2705" w:type="dxa"/>
            <w:gridSpan w:val="4"/>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0</w:t>
            </w:r>
          </w:p>
        </w:tc>
        <w:tc>
          <w:tcPr>
            <w:tcW w:w="685"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i w:val="0"/>
                <w:color w:val="auto"/>
                <w:sz w:val="22"/>
                <w:szCs w:val="22"/>
                <w:u w:val="none"/>
              </w:rPr>
            </w:pPr>
          </w:p>
        </w:tc>
        <w:tc>
          <w:tcPr>
            <w:tcW w:w="7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0</w:t>
            </w:r>
          </w:p>
        </w:tc>
        <w:tc>
          <w:tcPr>
            <w:tcW w:w="742"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i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4" w:hRule="atLeast"/>
        </w:trPr>
        <w:tc>
          <w:tcPr>
            <w:tcW w:w="1578"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财政专户管理资金：</w:t>
            </w:r>
          </w:p>
        </w:tc>
        <w:tc>
          <w:tcPr>
            <w:tcW w:w="133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0</w:t>
            </w:r>
          </w:p>
        </w:tc>
        <w:tc>
          <w:tcPr>
            <w:tcW w:w="1815"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0</w:t>
            </w:r>
          </w:p>
        </w:tc>
        <w:tc>
          <w:tcPr>
            <w:tcW w:w="2705" w:type="dxa"/>
            <w:gridSpan w:val="4"/>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0</w:t>
            </w:r>
          </w:p>
        </w:tc>
        <w:tc>
          <w:tcPr>
            <w:tcW w:w="685"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i w:val="0"/>
                <w:color w:val="auto"/>
                <w:sz w:val="22"/>
                <w:szCs w:val="22"/>
                <w:u w:val="none"/>
              </w:rPr>
            </w:pPr>
          </w:p>
        </w:tc>
        <w:tc>
          <w:tcPr>
            <w:tcW w:w="7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0</w:t>
            </w:r>
          </w:p>
        </w:tc>
        <w:tc>
          <w:tcPr>
            <w:tcW w:w="742"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仿宋" w:hAnsi="仿宋" w:eastAsia="仿宋" w:cs="仿宋"/>
                <w:i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47" w:hRule="atLeast"/>
        </w:trPr>
        <w:tc>
          <w:tcPr>
            <w:tcW w:w="4731" w:type="dxa"/>
            <w:gridSpan w:val="5"/>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年度目标</w:t>
            </w:r>
          </w:p>
        </w:tc>
        <w:tc>
          <w:tcPr>
            <w:tcW w:w="4909" w:type="dxa"/>
            <w:gridSpan w:val="7"/>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91" w:hRule="atLeast"/>
        </w:trPr>
        <w:tc>
          <w:tcPr>
            <w:tcW w:w="4731" w:type="dxa"/>
            <w:gridSpan w:val="5"/>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　维护机场辖区道路交通设备设施、清洗路面，减少交通事故和道路拥堵发生的次数。</w:t>
            </w:r>
          </w:p>
        </w:tc>
        <w:tc>
          <w:tcPr>
            <w:tcW w:w="4909" w:type="dxa"/>
            <w:gridSpan w:val="7"/>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基本完成年度目标。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268" w:hRule="atLeast"/>
        </w:trPr>
        <w:tc>
          <w:tcPr>
            <w:tcW w:w="77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一级指标</w:t>
            </w:r>
          </w:p>
        </w:tc>
        <w:tc>
          <w:tcPr>
            <w:tcW w:w="79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二级指标</w:t>
            </w:r>
          </w:p>
        </w:tc>
        <w:tc>
          <w:tcPr>
            <w:tcW w:w="255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三级指标</w:t>
            </w:r>
          </w:p>
        </w:tc>
        <w:tc>
          <w:tcPr>
            <w:tcW w:w="6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指标性质</w:t>
            </w:r>
          </w:p>
        </w:tc>
        <w:tc>
          <w:tcPr>
            <w:tcW w:w="5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年度指标值</w:t>
            </w:r>
          </w:p>
        </w:tc>
        <w:tc>
          <w:tcPr>
            <w:tcW w:w="62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度量单位</w:t>
            </w:r>
          </w:p>
        </w:tc>
        <w:tc>
          <w:tcPr>
            <w:tcW w:w="7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实际完成值</w:t>
            </w:r>
          </w:p>
        </w:tc>
        <w:tc>
          <w:tcPr>
            <w:tcW w:w="79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完成率</w:t>
            </w:r>
          </w:p>
        </w:tc>
        <w:tc>
          <w:tcPr>
            <w:tcW w:w="6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分值</w:t>
            </w:r>
          </w:p>
        </w:tc>
        <w:tc>
          <w:tcPr>
            <w:tcW w:w="7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得分</w:t>
            </w:r>
          </w:p>
        </w:tc>
        <w:tc>
          <w:tcPr>
            <w:tcW w:w="74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4" w:hRule="atLeast"/>
        </w:trPr>
        <w:tc>
          <w:tcPr>
            <w:tcW w:w="77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产出指标</w:t>
            </w:r>
          </w:p>
        </w:tc>
        <w:tc>
          <w:tcPr>
            <w:tcW w:w="79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质量指标</w:t>
            </w:r>
          </w:p>
        </w:tc>
        <w:tc>
          <w:tcPr>
            <w:tcW w:w="255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保障辖区路面设备设施完好,减少交通事故的发生</w:t>
            </w:r>
          </w:p>
        </w:tc>
        <w:tc>
          <w:tcPr>
            <w:tcW w:w="6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96</w:t>
            </w:r>
          </w:p>
        </w:tc>
        <w:tc>
          <w:tcPr>
            <w:tcW w:w="62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96</w:t>
            </w:r>
          </w:p>
        </w:tc>
        <w:tc>
          <w:tcPr>
            <w:tcW w:w="79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100%</w:t>
            </w:r>
          </w:p>
        </w:tc>
        <w:tc>
          <w:tcPr>
            <w:tcW w:w="6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40.00</w:t>
            </w:r>
          </w:p>
        </w:tc>
        <w:tc>
          <w:tcPr>
            <w:tcW w:w="7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40</w:t>
            </w:r>
          </w:p>
        </w:tc>
        <w:tc>
          <w:tcPr>
            <w:tcW w:w="742"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61" w:hRule="atLeast"/>
        </w:trPr>
        <w:tc>
          <w:tcPr>
            <w:tcW w:w="77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效益指标</w:t>
            </w:r>
          </w:p>
        </w:tc>
        <w:tc>
          <w:tcPr>
            <w:tcW w:w="79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社会效益指标</w:t>
            </w:r>
          </w:p>
        </w:tc>
        <w:tc>
          <w:tcPr>
            <w:tcW w:w="255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减少机场道路每年发生拥堵的次数，为旅客提高良好的出行体验</w:t>
            </w:r>
          </w:p>
        </w:tc>
        <w:tc>
          <w:tcPr>
            <w:tcW w:w="6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65</w:t>
            </w:r>
          </w:p>
        </w:tc>
        <w:tc>
          <w:tcPr>
            <w:tcW w:w="62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次</w:t>
            </w:r>
          </w:p>
        </w:tc>
        <w:tc>
          <w:tcPr>
            <w:tcW w:w="7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lang w:val="en-US" w:eastAsia="zh-CN"/>
              </w:rPr>
            </w:pPr>
            <w:r>
              <w:rPr>
                <w:rFonts w:hint="eastAsia" w:ascii="仿宋" w:hAnsi="仿宋" w:eastAsia="仿宋" w:cs="仿宋"/>
                <w:i w:val="0"/>
                <w:color w:val="auto"/>
                <w:sz w:val="22"/>
                <w:szCs w:val="22"/>
                <w:u w:val="none"/>
                <w:lang w:val="en-US" w:eastAsia="zh-CN"/>
              </w:rPr>
              <w:t>41</w:t>
            </w:r>
          </w:p>
        </w:tc>
        <w:tc>
          <w:tcPr>
            <w:tcW w:w="79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100%</w:t>
            </w:r>
          </w:p>
        </w:tc>
        <w:tc>
          <w:tcPr>
            <w:tcW w:w="6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40.00</w:t>
            </w:r>
          </w:p>
        </w:tc>
        <w:tc>
          <w:tcPr>
            <w:tcW w:w="7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lang w:val="en-US" w:eastAsia="zh-CN"/>
              </w:rPr>
            </w:pPr>
            <w:r>
              <w:rPr>
                <w:rFonts w:hint="eastAsia" w:ascii="仿宋" w:hAnsi="仿宋" w:eastAsia="仿宋" w:cs="仿宋"/>
                <w:i w:val="0"/>
                <w:color w:val="auto"/>
                <w:sz w:val="22"/>
                <w:szCs w:val="22"/>
                <w:u w:val="none"/>
                <w:lang w:val="en-US" w:eastAsia="zh-CN"/>
              </w:rPr>
              <w:t>40</w:t>
            </w:r>
          </w:p>
        </w:tc>
        <w:tc>
          <w:tcPr>
            <w:tcW w:w="742"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61" w:hRule="atLeast"/>
        </w:trPr>
        <w:tc>
          <w:tcPr>
            <w:tcW w:w="77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满意度指标</w:t>
            </w:r>
          </w:p>
        </w:tc>
        <w:tc>
          <w:tcPr>
            <w:tcW w:w="79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服务对象满意度</w:t>
            </w:r>
          </w:p>
        </w:tc>
        <w:tc>
          <w:tcPr>
            <w:tcW w:w="255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群众的满意度</w:t>
            </w:r>
          </w:p>
        </w:tc>
        <w:tc>
          <w:tcPr>
            <w:tcW w:w="60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95</w:t>
            </w:r>
          </w:p>
        </w:tc>
        <w:tc>
          <w:tcPr>
            <w:tcW w:w="62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96</w:t>
            </w:r>
          </w:p>
        </w:tc>
        <w:tc>
          <w:tcPr>
            <w:tcW w:w="79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100%</w:t>
            </w:r>
          </w:p>
        </w:tc>
        <w:tc>
          <w:tcPr>
            <w:tcW w:w="6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10.00</w:t>
            </w:r>
          </w:p>
        </w:tc>
        <w:tc>
          <w:tcPr>
            <w:tcW w:w="7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lang w:val="en-US" w:eastAsia="zh-CN"/>
              </w:rPr>
            </w:pPr>
            <w:r>
              <w:rPr>
                <w:rFonts w:hint="eastAsia" w:ascii="仿宋" w:hAnsi="仿宋" w:eastAsia="仿宋" w:cs="仿宋"/>
                <w:i w:val="0"/>
                <w:color w:val="auto"/>
                <w:sz w:val="22"/>
                <w:szCs w:val="22"/>
                <w:u w:val="none"/>
                <w:lang w:val="en-US" w:eastAsia="zh-CN"/>
              </w:rPr>
              <w:t>10</w:t>
            </w:r>
          </w:p>
        </w:tc>
        <w:tc>
          <w:tcPr>
            <w:tcW w:w="742"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80" w:hRule="atLeast"/>
        </w:trPr>
        <w:tc>
          <w:tcPr>
            <w:tcW w:w="7436" w:type="dxa"/>
            <w:gridSpan w:val="9"/>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合计</w:t>
            </w:r>
          </w:p>
        </w:tc>
        <w:tc>
          <w:tcPr>
            <w:tcW w:w="6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100</w:t>
            </w:r>
          </w:p>
        </w:tc>
        <w:tc>
          <w:tcPr>
            <w:tcW w:w="7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eastAsia" w:ascii="仿宋" w:hAnsi="仿宋" w:eastAsia="仿宋" w:cs="仿宋"/>
                <w:i w:val="0"/>
                <w:color w:val="auto"/>
                <w:sz w:val="22"/>
                <w:szCs w:val="22"/>
                <w:u w:val="none"/>
              </w:rPr>
            </w:pPr>
            <w:r>
              <w:rPr>
                <w:rFonts w:hint="eastAsia" w:ascii="仿宋" w:hAnsi="仿宋" w:eastAsia="仿宋" w:cs="仿宋"/>
                <w:i w:val="0"/>
                <w:color w:val="auto"/>
                <w:kern w:val="0"/>
                <w:sz w:val="22"/>
                <w:szCs w:val="22"/>
                <w:u w:val="none"/>
                <w:lang w:val="en-US" w:eastAsia="zh-CN" w:bidi="ar"/>
              </w:rPr>
              <w:t>96.95</w:t>
            </w:r>
          </w:p>
        </w:tc>
        <w:tc>
          <w:tcPr>
            <w:tcW w:w="742"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color w:val="auto"/>
                <w:sz w:val="22"/>
                <w:szCs w:val="22"/>
                <w:u w:val="none"/>
              </w:rPr>
            </w:pPr>
          </w:p>
        </w:tc>
      </w:tr>
    </w:tbl>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rPr>
        <w:t>交通道路设施建设及维护</w:t>
      </w:r>
      <w:r>
        <w:rPr>
          <w:rFonts w:hint="eastAsia" w:ascii="仿宋_GB2312" w:hAnsi="仿宋_GB2312" w:eastAsia="仿宋_GB2312" w:cs="仿宋_GB2312"/>
          <w:color w:val="auto"/>
          <w:sz w:val="32"/>
          <w:szCs w:val="32"/>
        </w:rPr>
        <w:t>项目绩效自评报告：根据年初设定的绩效目标，项目绩效自评得分为</w:t>
      </w:r>
      <w:r>
        <w:rPr>
          <w:rFonts w:hint="eastAsia" w:ascii="仿宋_GB2312" w:hAnsi="仿宋_GB2312" w:eastAsia="仿宋_GB2312" w:cs="仿宋_GB2312"/>
          <w:color w:val="auto"/>
          <w:sz w:val="32"/>
          <w:szCs w:val="32"/>
          <w:lang w:val="en-US" w:eastAsia="zh-CN"/>
        </w:rPr>
        <w:t>96.95</w:t>
      </w:r>
      <w:r>
        <w:rPr>
          <w:rFonts w:hint="eastAsia" w:ascii="仿宋_GB2312" w:hAnsi="仿宋_GB2312" w:eastAsia="仿宋_GB2312" w:cs="仿宋_GB2312"/>
          <w:color w:val="auto"/>
          <w:sz w:val="32"/>
          <w:szCs w:val="32"/>
        </w:rPr>
        <w:t>分。全年预算数为</w:t>
      </w:r>
      <w:r>
        <w:rPr>
          <w:rFonts w:hint="eastAsia" w:ascii="仿宋_GB2312" w:hAnsi="仿宋_GB2312" w:eastAsia="仿宋_GB2312" w:cs="仿宋_GB2312"/>
          <w:color w:val="auto"/>
          <w:sz w:val="32"/>
          <w:szCs w:val="32"/>
          <w:lang w:val="en-US" w:eastAsia="zh-CN"/>
        </w:rPr>
        <w:t>94.08</w:t>
      </w:r>
      <w:r>
        <w:rPr>
          <w:rFonts w:hint="eastAsia" w:ascii="仿宋_GB2312" w:hAnsi="仿宋_GB2312" w:eastAsia="仿宋_GB2312" w:cs="仿宋_GB2312"/>
          <w:color w:val="auto"/>
          <w:sz w:val="32"/>
          <w:szCs w:val="32"/>
        </w:rPr>
        <w:t>万元，执行数为</w:t>
      </w:r>
      <w:r>
        <w:rPr>
          <w:rFonts w:hint="eastAsia" w:ascii="仿宋_GB2312" w:hAnsi="仿宋_GB2312" w:eastAsia="仿宋_GB2312" w:cs="仿宋_GB2312"/>
          <w:color w:val="auto"/>
          <w:sz w:val="32"/>
          <w:szCs w:val="32"/>
          <w:lang w:val="en-US" w:eastAsia="zh-CN"/>
        </w:rPr>
        <w:t>65.39</w:t>
      </w:r>
      <w:r>
        <w:rPr>
          <w:rFonts w:hint="eastAsia" w:ascii="仿宋_GB2312" w:hAnsi="仿宋_GB2312" w:eastAsia="仿宋_GB2312" w:cs="仿宋_GB2312"/>
          <w:color w:val="auto"/>
          <w:sz w:val="32"/>
          <w:szCs w:val="32"/>
        </w:rPr>
        <w:t>万元，完成预算的</w:t>
      </w:r>
      <w:r>
        <w:rPr>
          <w:rFonts w:hint="eastAsia" w:ascii="仿宋_GB2312" w:hAnsi="仿宋_GB2312" w:eastAsia="仿宋_GB2312" w:cs="仿宋_GB2312"/>
          <w:color w:val="auto"/>
          <w:sz w:val="32"/>
          <w:szCs w:val="32"/>
          <w:lang w:val="en-US" w:eastAsia="zh-CN"/>
        </w:rPr>
        <w:t>69.51</w:t>
      </w:r>
      <w:r>
        <w:rPr>
          <w:rFonts w:hint="eastAsia" w:ascii="仿宋_GB2312" w:hAnsi="仿宋_GB2312" w:eastAsia="仿宋_GB2312" w:cs="仿宋_GB2312"/>
          <w:color w:val="auto"/>
          <w:sz w:val="32"/>
          <w:szCs w:val="32"/>
        </w:rPr>
        <w:t>%。项目绩效目标完成情况：一是保障了辖区路面设备设施完好,减少交通事故的发生；二是减少机场道路每年发生拥堵的次数。发现的主要问题及原因：一是由于一些交通管理电子设备老化，日常维护成本较高；二是由于</w:t>
      </w:r>
      <w:r>
        <w:rPr>
          <w:rFonts w:hint="eastAsia" w:ascii="仿宋_GB2312" w:hAnsi="仿宋_GB2312" w:eastAsia="仿宋_GB2312" w:cs="仿宋_GB2312"/>
          <w:color w:val="auto"/>
          <w:sz w:val="32"/>
          <w:szCs w:val="32"/>
          <w:lang w:eastAsia="zh-CN"/>
        </w:rPr>
        <w:t>三亚凤凰国际</w:t>
      </w:r>
      <w:r>
        <w:rPr>
          <w:rFonts w:hint="eastAsia" w:ascii="仿宋_GB2312" w:hAnsi="仿宋_GB2312" w:eastAsia="仿宋_GB2312" w:cs="仿宋_GB2312"/>
          <w:color w:val="auto"/>
          <w:sz w:val="32"/>
          <w:szCs w:val="32"/>
        </w:rPr>
        <w:t>机场</w:t>
      </w:r>
      <w:r>
        <w:rPr>
          <w:rFonts w:hint="eastAsia" w:ascii="仿宋_GB2312" w:hAnsi="仿宋_GB2312" w:eastAsia="仿宋_GB2312" w:cs="仿宋_GB2312"/>
          <w:color w:val="auto"/>
          <w:sz w:val="32"/>
          <w:szCs w:val="32"/>
          <w:lang w:val="en-US" w:eastAsia="zh-CN"/>
        </w:rPr>
        <w:t>T3航站楼运营，机场</w:t>
      </w:r>
      <w:r>
        <w:rPr>
          <w:rFonts w:hint="eastAsia" w:ascii="仿宋_GB2312" w:hAnsi="仿宋_GB2312" w:eastAsia="仿宋_GB2312" w:cs="仿宋_GB2312"/>
          <w:color w:val="auto"/>
          <w:sz w:val="32"/>
          <w:szCs w:val="32"/>
        </w:rPr>
        <w:t>客流量上升，更易造成道路拥堵。下一步改进措施：一是向科技要警力战斗力，更新一些前沿的设备装备力量，降低日常维护成本；二是加强对机场辖区易拥堵路段的情况研判，做好应急方案，在可预见会发生道路拥堵时，及时做好车流量的分流。</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textAlignment w:val="auto"/>
        <w:outlineLvl w:val="9"/>
        <w:rPr>
          <w:rFonts w:hint="eastAsia" w:ascii="楷体" w:hAnsi="楷体" w:eastAsia="楷体" w:cs="楷体"/>
          <w:bCs/>
          <w:sz w:val="32"/>
          <w:szCs w:val="32"/>
        </w:rPr>
      </w:pPr>
      <w:r>
        <w:rPr>
          <w:rFonts w:hint="eastAsia" w:ascii="楷体" w:hAnsi="楷体" w:eastAsia="楷体" w:cs="楷体"/>
          <w:bCs/>
          <w:sz w:val="32"/>
          <w:szCs w:val="32"/>
        </w:rPr>
        <w:t>（三）部门评价结果</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textAlignment w:val="auto"/>
        <w:outlineLvl w:val="9"/>
        <w:rPr>
          <w:rFonts w:hint="eastAsia" w:ascii="仿宋_GB2312" w:hAnsi="仿宋_GB2312" w:eastAsia="仿宋_GB2312" w:cs="仿宋_GB2312"/>
          <w:sz w:val="32"/>
          <w:szCs w:val="32"/>
          <w:highlight w:val="yellow"/>
        </w:rPr>
      </w:pPr>
      <w:r>
        <w:rPr>
          <w:rFonts w:hint="eastAsia" w:ascii="仿宋_GB2312" w:hAnsi="仿宋_GB2312" w:eastAsia="仿宋_GB2312" w:cs="仿宋_GB2312"/>
          <w:kern w:val="0"/>
          <w:sz w:val="32"/>
          <w:szCs w:val="32"/>
          <w:highlight w:val="none"/>
          <w:lang w:eastAsia="zh-CN" w:bidi="ar"/>
        </w:rPr>
        <w:t>无</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textAlignment w:val="auto"/>
        <w:outlineLvl w:val="9"/>
        <w:rPr>
          <w:rFonts w:hint="eastAsia" w:ascii="楷体" w:hAnsi="楷体" w:eastAsia="楷体" w:cs="楷体"/>
          <w:bCs/>
          <w:sz w:val="32"/>
          <w:szCs w:val="32"/>
        </w:rPr>
      </w:pPr>
      <w:r>
        <w:rPr>
          <w:rFonts w:hint="eastAsia" w:ascii="楷体" w:hAnsi="楷体" w:eastAsia="楷体" w:cs="楷体"/>
          <w:bCs/>
          <w:sz w:val="32"/>
          <w:szCs w:val="32"/>
        </w:rPr>
        <w:t>（四）财政评价结果</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无。</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textAlignment w:val="auto"/>
        <w:outlineLvl w:val="9"/>
        <w:rPr>
          <w:rFonts w:hint="eastAsia" w:ascii="黑体" w:hAnsi="黑体" w:eastAsia="黑体" w:cs="黑体"/>
          <w:bCs/>
          <w:sz w:val="32"/>
          <w:szCs w:val="32"/>
          <w:lang w:val="zh-CN"/>
        </w:rPr>
      </w:pPr>
      <w:r>
        <w:rPr>
          <w:rFonts w:hint="eastAsia" w:ascii="黑体" w:hAnsi="黑体" w:eastAsia="黑体" w:cs="黑体"/>
          <w:bCs/>
          <w:sz w:val="32"/>
          <w:szCs w:val="32"/>
          <w:lang w:val="zh-CN"/>
        </w:rPr>
        <w:t>十一、落实习惯过紧日子要求、保障重点支出情况说明</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按照党中央、国务院关于党政机关习惯过紧日子的有关要求，厉行节约办一切事业，严控一般性支出。同时坚持有保有压，优化支出结构，提高资金使用效率，合理保障公安警务运转、装备保障、后勤运维等重点支出，体现在水电费、维修（护）费、水电费、专用设备购置有关支出科目中。按照支出功能分类，公共安全方面的支出规模较大，主要是：公共安全支出（类）公安（款）行政运行（项），2025年度决算数为</w:t>
      </w:r>
      <w:r>
        <w:rPr>
          <w:rFonts w:hint="eastAsia" w:ascii="仿宋_GB2312" w:hAnsi="仿宋_GB2312" w:eastAsia="仿宋_GB2312" w:cs="仿宋_GB2312"/>
          <w:color w:val="auto"/>
          <w:sz w:val="32"/>
          <w:szCs w:val="32"/>
          <w:lang w:val="en-US" w:eastAsia="zh-CN"/>
        </w:rPr>
        <w:t>1633.98</w:t>
      </w:r>
      <w:r>
        <w:rPr>
          <w:rFonts w:hint="eastAsia" w:ascii="仿宋_GB2312" w:hAnsi="仿宋_GB2312" w:eastAsia="仿宋_GB2312" w:cs="仿宋_GB2312"/>
          <w:color w:val="auto"/>
          <w:sz w:val="32"/>
          <w:szCs w:val="32"/>
          <w:lang w:val="zh-CN"/>
        </w:rPr>
        <w:t>万元，占财政拨款支出总额的</w:t>
      </w:r>
      <w:r>
        <w:rPr>
          <w:rFonts w:hint="eastAsia" w:ascii="仿宋_GB2312" w:hAnsi="仿宋_GB2312" w:eastAsia="仿宋_GB2312" w:cs="仿宋_GB2312"/>
          <w:color w:val="auto"/>
          <w:sz w:val="32"/>
          <w:szCs w:val="32"/>
          <w:lang w:val="en-US" w:eastAsia="zh-CN"/>
        </w:rPr>
        <w:t>50.07</w:t>
      </w:r>
      <w:r>
        <w:rPr>
          <w:rFonts w:hint="eastAsia" w:ascii="仿宋_GB2312" w:hAnsi="仿宋_GB2312" w:eastAsia="仿宋_GB2312" w:cs="仿宋_GB2312"/>
          <w:color w:val="auto"/>
          <w:sz w:val="32"/>
          <w:szCs w:val="32"/>
          <w:lang w:val="zh-CN"/>
        </w:rPr>
        <w:t>%，主要用于保障机关运行、勤务后勤等方面支出。</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textAlignment w:val="auto"/>
        <w:outlineLvl w:val="9"/>
        <w:rPr>
          <w:rFonts w:hint="eastAsia" w:ascii="黑体" w:hAnsi="黑体" w:eastAsia="黑体" w:cs="黑体"/>
          <w:bCs/>
          <w:sz w:val="32"/>
          <w:szCs w:val="32"/>
        </w:rPr>
      </w:pPr>
      <w:r>
        <w:rPr>
          <w:rFonts w:hint="eastAsia" w:ascii="黑体" w:hAnsi="黑体" w:eastAsia="黑体" w:cs="黑体"/>
          <w:bCs/>
          <w:sz w:val="32"/>
          <w:szCs w:val="32"/>
        </w:rPr>
        <w:t>十</w:t>
      </w:r>
      <w:r>
        <w:rPr>
          <w:rFonts w:hint="eastAsia" w:ascii="黑体" w:hAnsi="黑体" w:eastAsia="黑体" w:cs="黑体"/>
          <w:bCs/>
          <w:sz w:val="32"/>
          <w:szCs w:val="32"/>
          <w:lang w:val="en-US" w:eastAsia="zh-CN"/>
        </w:rPr>
        <w:t>二</w:t>
      </w:r>
      <w:r>
        <w:rPr>
          <w:rFonts w:hint="eastAsia" w:ascii="黑体" w:hAnsi="黑体" w:eastAsia="黑体" w:cs="黑体"/>
          <w:bCs/>
          <w:sz w:val="32"/>
          <w:szCs w:val="32"/>
        </w:rPr>
        <w:t>、其他重要事项情况说明</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textAlignment w:val="auto"/>
        <w:outlineLvl w:val="9"/>
        <w:rPr>
          <w:rFonts w:hint="eastAsia" w:ascii="楷体" w:hAnsi="楷体" w:eastAsia="楷体" w:cs="楷体"/>
          <w:bCs/>
          <w:sz w:val="32"/>
          <w:szCs w:val="32"/>
        </w:rPr>
      </w:pPr>
      <w:bookmarkStart w:id="95" w:name="_Toc23598_WPSOffice_Level2"/>
      <w:bookmarkStart w:id="96" w:name="_Toc15262_WPSOffice_Level2"/>
      <w:bookmarkStart w:id="97" w:name="_Toc32639_WPSOffice_Level2"/>
      <w:bookmarkStart w:id="98" w:name="_Toc15565_WPSOffice_Level2"/>
      <w:bookmarkStart w:id="99" w:name="_Toc5978_WPSOffice_Level2"/>
      <w:bookmarkStart w:id="100" w:name="_Toc18325_WPSOffice_Level2"/>
      <w:r>
        <w:rPr>
          <w:rFonts w:hint="eastAsia" w:ascii="楷体" w:hAnsi="楷体" w:eastAsia="楷体" w:cs="楷体"/>
          <w:bCs/>
          <w:sz w:val="32"/>
          <w:szCs w:val="32"/>
        </w:rPr>
        <w:t>（一）机关运行经费支出情况</w:t>
      </w:r>
      <w:bookmarkEnd w:id="95"/>
      <w:bookmarkEnd w:id="96"/>
      <w:bookmarkEnd w:id="97"/>
      <w:bookmarkEnd w:id="98"/>
      <w:bookmarkEnd w:id="99"/>
      <w:bookmarkEnd w:id="100"/>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lang w:val="en-US"/>
        </w:rPr>
        <w:t>2025</w:t>
      </w:r>
      <w:r>
        <w:rPr>
          <w:rFonts w:hint="eastAsia" w:ascii="仿宋_GB2312" w:hAnsi="仿宋_GB2312" w:eastAsia="仿宋_GB2312" w:cs="仿宋_GB2312"/>
          <w:color w:val="auto"/>
          <w:sz w:val="32"/>
          <w:szCs w:val="32"/>
        </w:rPr>
        <w:t>年度</w:t>
      </w:r>
      <w:r>
        <w:rPr>
          <w:rFonts w:hint="eastAsia" w:ascii="仿宋_GB2312" w:hAnsi="仿宋_GB2312" w:eastAsia="仿宋_GB2312" w:cs="仿宋_GB2312"/>
          <w:color w:val="auto"/>
          <w:sz w:val="32"/>
          <w:szCs w:val="32"/>
          <w:lang w:val="en-US" w:eastAsia="zh-CN"/>
        </w:rPr>
        <w:t>三亚市公安局凤凰机场公安局</w:t>
      </w:r>
      <w:r>
        <w:rPr>
          <w:rFonts w:hint="eastAsia" w:ascii="仿宋_GB2312" w:hAnsi="仿宋_GB2312" w:eastAsia="仿宋_GB2312" w:cs="仿宋_GB2312"/>
          <w:color w:val="auto"/>
          <w:sz w:val="32"/>
          <w:szCs w:val="32"/>
        </w:rPr>
        <w:t>（单位）机关运行经费</w:t>
      </w:r>
      <w:r>
        <w:rPr>
          <w:rFonts w:hint="eastAsia" w:ascii="仿宋_GB2312" w:hAnsi="仿宋_GB2312" w:eastAsia="仿宋_GB2312" w:cs="仿宋_GB2312"/>
          <w:color w:val="auto"/>
          <w:sz w:val="32"/>
          <w:szCs w:val="32"/>
          <w:lang w:val="en-US" w:eastAsia="zh-CN"/>
        </w:rPr>
        <w:t>309.74</w:t>
      </w:r>
      <w:r>
        <w:rPr>
          <w:rFonts w:hint="eastAsia" w:ascii="仿宋_GB2312" w:hAnsi="仿宋_GB2312" w:eastAsia="仿宋_GB2312" w:cs="仿宋_GB2312"/>
          <w:color w:val="auto"/>
          <w:sz w:val="32"/>
          <w:szCs w:val="32"/>
        </w:rPr>
        <w:t>万元，比年初预算增加</w:t>
      </w:r>
      <w:r>
        <w:rPr>
          <w:rFonts w:hint="eastAsia" w:ascii="仿宋_GB2312" w:hAnsi="仿宋_GB2312" w:eastAsia="仿宋_GB2312" w:cs="仿宋_GB2312"/>
          <w:color w:val="auto"/>
          <w:sz w:val="32"/>
          <w:szCs w:val="32"/>
          <w:lang w:val="en-US" w:eastAsia="zh-CN"/>
        </w:rPr>
        <w:t>74.46</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val="en-US" w:eastAsia="zh-CN"/>
        </w:rPr>
        <w:t>完成预算的131.65</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与2024年度相比，机关运行经费</w:t>
      </w:r>
      <w:r>
        <w:rPr>
          <w:rFonts w:hint="eastAsia" w:ascii="仿宋_GB2312" w:hAnsi="仿宋_GB2312" w:eastAsia="仿宋_GB2312" w:cs="仿宋_GB2312"/>
          <w:color w:val="auto"/>
          <w:sz w:val="32"/>
          <w:szCs w:val="32"/>
        </w:rPr>
        <w:t>增加</w:t>
      </w:r>
      <w:r>
        <w:rPr>
          <w:rFonts w:hint="eastAsia" w:ascii="仿宋_GB2312" w:hAnsi="仿宋_GB2312" w:eastAsia="仿宋_GB2312" w:cs="仿宋_GB2312"/>
          <w:color w:val="auto"/>
          <w:sz w:val="32"/>
          <w:szCs w:val="32"/>
          <w:lang w:val="en-US" w:eastAsia="zh-CN"/>
        </w:rPr>
        <w:t>151.14</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增长95.30%。</w:t>
      </w:r>
      <w:r>
        <w:rPr>
          <w:rFonts w:hint="eastAsia" w:ascii="仿宋_GB2312" w:hAnsi="仿宋_GB2312" w:eastAsia="仿宋_GB2312" w:cs="仿宋_GB2312"/>
          <w:color w:val="auto"/>
          <w:sz w:val="32"/>
          <w:szCs w:val="32"/>
        </w:rPr>
        <w:t>主要原因是：公务用车购置</w:t>
      </w:r>
      <w:r>
        <w:rPr>
          <w:rFonts w:hint="eastAsia" w:ascii="仿宋_GB2312" w:hAnsi="仿宋_GB2312" w:eastAsia="仿宋_GB2312" w:cs="仿宋_GB2312"/>
          <w:color w:val="auto"/>
          <w:sz w:val="32"/>
          <w:szCs w:val="32"/>
          <w:lang w:eastAsia="zh-CN"/>
        </w:rPr>
        <w:t>经费增加。</w:t>
      </w:r>
      <w:bookmarkStart w:id="101" w:name="_Toc3131_WPSOffice_Level2"/>
      <w:bookmarkStart w:id="102" w:name="_Toc32689_WPSOffice_Level2"/>
      <w:bookmarkStart w:id="103" w:name="_Toc30383_WPSOffice_Level2"/>
      <w:bookmarkStart w:id="104" w:name="_Toc25333_WPSOffice_Level2"/>
      <w:bookmarkStart w:id="105" w:name="_Toc23966_WPSOffice_Level2"/>
      <w:bookmarkStart w:id="106" w:name="_Toc13084_WPSOffice_Level2"/>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textAlignment w:val="auto"/>
        <w:outlineLvl w:val="9"/>
        <w:rPr>
          <w:rFonts w:hint="eastAsia" w:ascii="楷体" w:hAnsi="楷体" w:eastAsia="楷体" w:cs="楷体"/>
          <w:bCs/>
          <w:sz w:val="32"/>
          <w:szCs w:val="32"/>
        </w:rPr>
      </w:pPr>
      <w:r>
        <w:rPr>
          <w:rFonts w:hint="eastAsia" w:ascii="楷体" w:hAnsi="楷体" w:eastAsia="楷体" w:cs="楷体"/>
          <w:bCs/>
          <w:sz w:val="32"/>
          <w:szCs w:val="32"/>
        </w:rPr>
        <w:t>（二）政府采购支出情况</w:t>
      </w:r>
      <w:bookmarkEnd w:id="101"/>
      <w:bookmarkEnd w:id="102"/>
      <w:bookmarkEnd w:id="103"/>
      <w:bookmarkEnd w:id="104"/>
      <w:bookmarkEnd w:id="105"/>
      <w:bookmarkEnd w:id="106"/>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left"/>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rPr>
        <w:t>2025</w:t>
      </w:r>
      <w:r>
        <w:rPr>
          <w:rFonts w:hint="eastAsia" w:ascii="仿宋_GB2312" w:hAnsi="仿宋_GB2312" w:eastAsia="仿宋_GB2312" w:cs="仿宋_GB2312"/>
          <w:color w:val="auto"/>
          <w:sz w:val="32"/>
          <w:szCs w:val="32"/>
        </w:rPr>
        <w:t>年度</w:t>
      </w:r>
      <w:r>
        <w:rPr>
          <w:rFonts w:hint="eastAsia" w:ascii="仿宋_GB2312" w:hAnsi="仿宋_GB2312" w:eastAsia="仿宋_GB2312" w:cs="仿宋_GB2312"/>
          <w:color w:val="auto"/>
          <w:sz w:val="32"/>
          <w:szCs w:val="32"/>
          <w:lang w:val="en-US" w:eastAsia="zh-CN"/>
        </w:rPr>
        <w:t>三亚市公安局凤凰机场公安局</w:t>
      </w:r>
      <w:r>
        <w:rPr>
          <w:rFonts w:hint="eastAsia" w:ascii="仿宋_GB2312" w:hAnsi="仿宋_GB2312" w:eastAsia="仿宋_GB2312" w:cs="仿宋_GB2312"/>
          <w:color w:val="auto"/>
          <w:sz w:val="32"/>
          <w:szCs w:val="32"/>
        </w:rPr>
        <w:t>（单位）政府采购支出总额</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万元，其中：政府采购货物支出</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万元、政府采购工程支出</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万元、政府采购服务支出</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万元。授予中小企业合同金额</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万元，占政府采购支出总额的</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%，其中：授予小微企业合同金额</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kern w:val="0"/>
          <w:sz w:val="32"/>
          <w:szCs w:val="32"/>
          <w:lang w:bidi="ar"/>
        </w:rPr>
        <w:t>授予中小企业合同金额</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textAlignment w:val="auto"/>
        <w:outlineLvl w:val="9"/>
        <w:rPr>
          <w:rFonts w:hint="eastAsia" w:ascii="楷体" w:hAnsi="楷体" w:eastAsia="楷体" w:cs="楷体"/>
          <w:bCs/>
          <w:sz w:val="32"/>
          <w:szCs w:val="32"/>
        </w:rPr>
      </w:pPr>
      <w:bookmarkStart w:id="107" w:name="_Toc10902_WPSOffice_Level2"/>
      <w:bookmarkStart w:id="108" w:name="_Toc29584_WPSOffice_Level2"/>
      <w:bookmarkStart w:id="109" w:name="_Toc15129_WPSOffice_Level2"/>
      <w:bookmarkStart w:id="110" w:name="_Toc527_WPSOffice_Level2"/>
      <w:bookmarkStart w:id="111" w:name="_Toc6016_WPSOffice_Level2"/>
      <w:bookmarkStart w:id="112" w:name="_Toc19989_WPSOffice_Level2"/>
      <w:r>
        <w:rPr>
          <w:rFonts w:hint="eastAsia" w:ascii="楷体" w:hAnsi="楷体" w:eastAsia="楷体" w:cs="楷体"/>
          <w:bCs/>
          <w:sz w:val="32"/>
          <w:szCs w:val="32"/>
        </w:rPr>
        <w:t>（三）国有资产占用情况</w:t>
      </w:r>
      <w:bookmarkEnd w:id="107"/>
      <w:bookmarkEnd w:id="108"/>
      <w:bookmarkEnd w:id="109"/>
      <w:bookmarkEnd w:id="110"/>
      <w:bookmarkEnd w:id="111"/>
      <w:bookmarkEnd w:id="112"/>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rPr>
        <w:t>截至</w:t>
      </w:r>
      <w:r>
        <w:rPr>
          <w:rFonts w:hint="eastAsia" w:ascii="仿宋_GB2312" w:hAnsi="仿宋_GB2312" w:eastAsia="仿宋_GB2312" w:cs="仿宋_GB2312"/>
          <w:bCs/>
          <w:color w:val="auto"/>
          <w:sz w:val="32"/>
          <w:szCs w:val="32"/>
          <w:lang w:val="en-US"/>
        </w:rPr>
        <w:t>2025</w:t>
      </w:r>
      <w:r>
        <w:rPr>
          <w:rFonts w:hint="eastAsia" w:ascii="仿宋_GB2312" w:hAnsi="仿宋_GB2312" w:eastAsia="仿宋_GB2312" w:cs="仿宋_GB2312"/>
          <w:bCs/>
          <w:color w:val="auto"/>
          <w:sz w:val="32"/>
          <w:szCs w:val="32"/>
        </w:rPr>
        <w:t>年12月31日，本部门拥有</w:t>
      </w:r>
      <w:r>
        <w:rPr>
          <w:rFonts w:hint="eastAsia" w:ascii="仿宋_GB2312" w:hAnsi="仿宋_GB2312" w:eastAsia="仿宋_GB2312" w:cs="仿宋_GB2312"/>
          <w:color w:val="auto"/>
          <w:sz w:val="32"/>
          <w:szCs w:val="32"/>
        </w:rPr>
        <w:t>房屋面积</w:t>
      </w:r>
      <w:r>
        <w:rPr>
          <w:rFonts w:hint="eastAsia" w:ascii="仿宋_GB2312" w:hAnsi="仿宋_GB2312" w:eastAsia="仿宋_GB2312" w:cs="仿宋_GB2312"/>
          <w:color w:val="auto"/>
          <w:sz w:val="32"/>
          <w:szCs w:val="32"/>
          <w:lang w:val="en-US" w:eastAsia="zh-CN"/>
        </w:rPr>
        <w:t>848.75</w:t>
      </w:r>
      <w:r>
        <w:rPr>
          <w:rFonts w:hint="eastAsia" w:ascii="仿宋_GB2312" w:hAnsi="仿宋_GB2312" w:eastAsia="仿宋_GB2312" w:cs="仿宋_GB2312"/>
          <w:color w:val="auto"/>
          <w:sz w:val="32"/>
          <w:szCs w:val="32"/>
        </w:rPr>
        <w:t>平方米</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本部门共有车辆</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辆，其中，副部（省）级及以上领导用车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辆、主要负责人用车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辆、机要通信用车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辆、离退休干部服务用车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_GB2312" w:hAnsi="仿宋_GB2312" w:eastAsia="仿宋_GB2312" w:cs="仿宋_GB2312"/>
          <w:color w:val="auto"/>
          <w:sz w:val="32"/>
          <w:szCs w:val="32"/>
        </w:rPr>
        <w:t>单价100万元（含）以上设备（不含车辆）</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台（套）。</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center"/>
        <w:textAlignment w:val="auto"/>
        <w:rPr>
          <w:rFonts w:hint="eastAsia" w:ascii="黑体" w:hAnsi="ˎ̥" w:eastAsia="黑体"/>
          <w:sz w:val="32"/>
          <w:szCs w:val="32"/>
        </w:rPr>
      </w:pPr>
      <w:bookmarkStart w:id="113" w:name="_Toc8808_WPSOffice_Level1"/>
      <w:bookmarkStart w:id="114" w:name="_Toc15425_WPSOffice_Level1"/>
      <w:bookmarkStart w:id="115" w:name="_Toc17580_WPSOffice_Level1"/>
      <w:bookmarkStart w:id="116" w:name="_Toc4398_WPSOffice_Level1"/>
      <w:bookmarkStart w:id="117" w:name="_Toc8874_WPSOffice_Level1"/>
      <w:bookmarkStart w:id="118" w:name="_Toc11039_WPSOffice_Level1"/>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jc w:val="center"/>
        <w:textAlignment w:val="auto"/>
        <w:rPr>
          <w:rFonts w:hint="eastAsia" w:ascii="黑体" w:hAnsi="ˎ̥" w:eastAsia="黑体"/>
          <w:sz w:val="32"/>
          <w:szCs w:val="32"/>
        </w:rPr>
      </w:pPr>
      <w:r>
        <w:rPr>
          <w:rFonts w:hint="eastAsia" w:ascii="黑体" w:hAnsi="ˎ̥" w:eastAsia="黑体"/>
          <w:sz w:val="32"/>
          <w:szCs w:val="32"/>
        </w:rPr>
        <w:t>第四部分  名词解释</w:t>
      </w:r>
      <w:bookmarkEnd w:id="113"/>
      <w:bookmarkEnd w:id="114"/>
      <w:bookmarkEnd w:id="115"/>
      <w:bookmarkEnd w:id="116"/>
      <w:bookmarkEnd w:id="117"/>
      <w:bookmarkEnd w:id="118"/>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jc w:val="center"/>
        <w:textAlignment w:val="auto"/>
        <w:rPr>
          <w:rFonts w:hint="eastAsia" w:ascii="黑体" w:hAnsi="ˎ̥" w:eastAsia="黑体"/>
          <w:sz w:val="32"/>
          <w:szCs w:val="32"/>
        </w:rPr>
      </w:pPr>
    </w:p>
    <w:p>
      <w:pPr>
        <w:keepNext w:val="0"/>
        <w:keepLines w:val="0"/>
        <w:pageBreakBefore w:val="0"/>
        <w:widowControl w:val="0"/>
        <w:numPr>
          <w:ilvl w:val="0"/>
          <w:numId w:val="4"/>
        </w:numPr>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财政拨款收入：指同级政府财政部门当年拨付的各类财政拨款。</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二、上级补助收入：指事业单位从主管部门和上级单位取得的非财政补助收入。</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三、事业收入：指事业单位开展专业业务活动及辅助活动取得的收入。</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四、经营收入：指事业单位在专业业务活动及其辅助活动之外开展非独立核算经营活动取得的收入。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五、附属单位上缴收入：指事业单位取得附属独立核算单位根据有关规定上缴的收入。</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六、其他收入：指除上述“财政拨款收入”“事业收入”“上级补助收入”“经营收入”“附属单位上缴收入”等以外的收入。</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七、使用非财政拨款结余（含专用结余）：指事业单位在当年的“财政拨款收入”“事业收入”“经营收入”“其他收入”等不足以安排当年支出的情况下，使用非同级财政拨款结余资金弥补本年度收支缺口。</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八、年初结转和结余：指以前年度尚未完成、结转到本年按有关规定继续使用的资金，或项目已完成等产生的结余资金。</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九、结余分配：指事业单位缴纳企业所得税以及从非财政拨款结余或经营结余中提取各类结余的情况。</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十、年末结转和结余：指本年度或以前年度预算安排、因客观条件发生变化无法按原计划实施，需要延迟到以后年度按有关规定继续使用的资金（不包括事业单位非财政拨款结余和专用结余）。</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十一、基本支出：指为保障机构正常运转、完成日常工作任务而发生的人员支出和公用支出。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十二、项目支出：指在基本支出之外为完成特定行政任务和事业发展目标所发生的支出。</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十三、经营支出：指事业单位在专业业务活动及其辅助活动之外开展非独立核算经营活动发生的支出。</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十四、“三公”经费：纳入本级财政预决算管理的“三公”经费，是指用一般公共预算财政拨款、政府性基金预算财政拨款及国有资本经营预算财政拨款安排的因公出国（境）费</w:t>
      </w:r>
      <w:r>
        <w:rPr>
          <w:rFonts w:hint="eastAsia" w:ascii="仿宋_GB2312" w:hAnsi="仿宋_GB2312" w:eastAsia="仿宋_GB2312" w:cs="仿宋_GB2312"/>
          <w:sz w:val="32"/>
          <w:szCs w:val="32"/>
          <w:highlight w:val="none"/>
          <w:lang w:eastAsia="zh-CN"/>
        </w:rPr>
        <w:t>用</w:t>
      </w:r>
      <w:r>
        <w:rPr>
          <w:rFonts w:hint="eastAsia" w:ascii="仿宋_GB2312" w:hAnsi="仿宋_GB2312" w:eastAsia="仿宋_GB2312" w:cs="仿宋_GB2312"/>
          <w:sz w:val="32"/>
          <w:szCs w:val="32"/>
          <w:highlight w:val="none"/>
        </w:rPr>
        <w:t>、公务用车购置及运行维护费和公务接待费。其中，因公出国（境）费</w:t>
      </w:r>
      <w:r>
        <w:rPr>
          <w:rFonts w:hint="eastAsia" w:ascii="仿宋_GB2312" w:hAnsi="仿宋_GB2312" w:eastAsia="仿宋_GB2312" w:cs="仿宋_GB2312"/>
          <w:sz w:val="32"/>
          <w:szCs w:val="32"/>
          <w:highlight w:val="none"/>
          <w:lang w:eastAsia="zh-CN"/>
        </w:rPr>
        <w:t>用</w:t>
      </w:r>
      <w:r>
        <w:rPr>
          <w:rFonts w:hint="eastAsia" w:ascii="仿宋_GB2312" w:hAnsi="仿宋_GB2312" w:eastAsia="仿宋_GB2312" w:cs="仿宋_GB2312"/>
          <w:sz w:val="32"/>
          <w:szCs w:val="32"/>
          <w:highlight w:val="none"/>
        </w:rPr>
        <w:t>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五、机关运行经费：为保障行政单位（含参照公务员法管理的事业单位）运行使用一般公共预算财政拨款安排的基本支出经费用于购买货物和服务的各项资金，包括办公及印刷费、邮电费、差旅费、会议费、福利费、日常维修费、专用材料及一般设备购置费、办公用房水电费、办公用房取暖费、办公用房物业管理费、公务用车运行维护费以及其他费用等。</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十六、支出功能分类：</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公共安全支出（类）公安（款）行政运行（项），指反映行政单位（包括实行公务员管理的事业单位）的基本支出；</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公共安全支出（类）公安（款）一般行政管理事务（项），指反映行政单位（包括实行公务员管理的事业单位）未单独设置项级科目的其他项目支出；</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公共安全支出（类）公安（款）信息化建设（项），指反映公安机关用于非涉密的信息网络建设和运行维护的相关支出；</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公共安全支出（类）公安（款）执法办案（项），指反映公安机关从事行政执法、刑事司法及侦查办案等相关活动的支出；</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公共安全支出（类）公安（款）其他公安支出（项），指反映上述公安项目以为的其他用于公安方面的支出；</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社会保障和就业支出（类）行政事业单位养老支出（款）机关事业单位基本养老保险缴费支出（项），指部门实施养老保险制度由单位缴纳的养老保险费的支出；</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社会保障和就业支出（类）行政事业单位养老支出（款）机关事业单位职业年金缴费支出（项），指部门实施养老保险制度由单位缴纳的职业年金的支出；</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卫生健康支出（类）行政事业单位医疗（款）行政单位医疗（项），指行政单位（包括实行公务员管理的事业单位）用于缴纳基本医疗保险支出；</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卫生健康支出（类）行政事业单位医疗（款）公务员医疗补助（项），指行政单位（包括实行公务员管理的事业单位）用于缴纳公务员医疗补助支出；</w:t>
      </w:r>
    </w:p>
    <w:p>
      <w:pPr>
        <w:keepNext w:val="0"/>
        <w:keepLines w:val="0"/>
        <w:pageBreakBefore w:val="0"/>
        <w:widowControl w:val="0"/>
        <w:kinsoku/>
        <w:wordWrap/>
        <w:overflowPunct/>
        <w:topLinePunct w:val="0"/>
        <w:autoSpaceDE/>
        <w:autoSpaceDN/>
        <w:bidi w:val="0"/>
        <w:adjustRightInd/>
        <w:snapToGrid/>
        <w:spacing w:line="558"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rPr>
        <w:t>住房保障支出（类）住房改革支出（款）住房公积金（项），指按照《住房公积金管理条例》，由行政单位（包括实行公务员管理的事业单位）及其在职职工缴存的长期住房储金。</w:t>
      </w:r>
    </w:p>
    <w:sectPr>
      <w:footerReference r:id="rId3" w:type="default"/>
      <w:footerReference r:id="rId4" w:type="even"/>
      <w:pgSz w:w="11906" w:h="16838"/>
      <w:pgMar w:top="2098" w:right="1474" w:bottom="1300"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10002FF" w:usb1="4000ACFF" w:usb2="00000009"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10002FF" w:usb1="4000ACFF" w:usb2="00000009"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ˎ̥">
    <w:altName w:val="微软雅黑"/>
    <w:panose1 w:val="00000000000000000000"/>
    <w:charset w:val="00"/>
    <w:family w:val="decorative"/>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roman"/>
    <w:pitch w:val="default"/>
    <w:sig w:usb0="800002BF" w:usb1="38CF7CFA" w:usb2="00000016" w:usb3="00000000" w:csb0="00040001" w:csb1="00000000"/>
  </w:font>
  <w:font w:name="楷体">
    <w:panose1 w:val="02010609060101010101"/>
    <w:charset w:val="86"/>
    <w:family w:val="roman"/>
    <w:pitch w:val="default"/>
    <w:sig w:usb0="800002BF" w:usb1="38CF7CFA" w:usb2="00000016" w:usb3="00000000" w:csb0="00040001" w:csb1="00000000"/>
  </w:font>
  <w:font w:name="方正楷体_GBK">
    <w:altName w:val="微软雅黑"/>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roma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modern"/>
    <w:pitch w:val="default"/>
    <w:sig w:usb0="E0002A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roma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swiss"/>
    <w:pitch w:val="default"/>
    <w:sig w:usb0="00000001" w:usb1="080E0000" w:usb2="00000000" w:usb3="00000000" w:csb0="00040000" w:csb1="00000000"/>
  </w:font>
  <w:font w:name="ˎ̥">
    <w:altName w:val="微软雅黑"/>
    <w:panose1 w:val="00000000000000000000"/>
    <w:charset w:val="00"/>
    <w:family w:val="modern"/>
    <w:pitch w:val="default"/>
    <w:sig w:usb0="00000000" w:usb1="00000000" w:usb2="00000000" w:usb3="00000000" w:csb0="00040001" w:csb1="00000000"/>
  </w:font>
  <w:font w:name="仿宋">
    <w:panose1 w:val="02010609060101010101"/>
    <w:charset w:val="86"/>
    <w:family w:val="swiss"/>
    <w:pitch w:val="default"/>
    <w:sig w:usb0="800002BF" w:usb1="38CF7CFA" w:usb2="00000016"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仿宋_GB2312">
    <w:panose1 w:val="02010609030101010101"/>
    <w:charset w:val="86"/>
    <w:family w:val="decorative"/>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ˎ̥">
    <w:altName w:val="微软雅黑"/>
    <w:panose1 w:val="00000000000000000000"/>
    <w:charset w:val="00"/>
    <w:family w:val="swiss"/>
    <w:pitch w:val="default"/>
    <w:sig w:usb0="00000000" w:usb1="00000000" w:usb2="00000000" w:usb3="00000000" w:csb0="00040001" w:csb1="00000000"/>
  </w:font>
  <w:font w:name="仿宋">
    <w:panose1 w:val="02010609060101010101"/>
    <w:charset w:val="86"/>
    <w:family w:val="decorative"/>
    <w:pitch w:val="default"/>
    <w:sig w:usb0="800002BF" w:usb1="38CF7CFA" w:usb2="00000016" w:usb3="00000000" w:csb0="00040001" w:csb1="00000000"/>
  </w:font>
  <w:font w:name="楷体">
    <w:panose1 w:val="02010609060101010101"/>
    <w:charset w:val="86"/>
    <w:family w:val="swiss"/>
    <w:pitch w:val="default"/>
    <w:sig w:usb0="800002BF" w:usb1="38CF7CFA" w:usb2="00000016" w:usb3="00000000" w:csb0="00040001" w:csb1="00000000"/>
  </w:font>
  <w:font w:name="楷体_GB2312">
    <w:panose1 w:val="02010609030101010101"/>
    <w:charset w:val="86"/>
    <w:family w:val="swiss"/>
    <w:pitch w:val="default"/>
    <w:sig w:usb0="00000001" w:usb1="080E0000" w:usb2="00000000" w:usb3="00000000" w:csb0="00040000" w:csb1="00000000"/>
  </w:font>
  <w:font w:name="Arial">
    <w:panose1 w:val="020B0604020202020204"/>
    <w:charset w:val="00"/>
    <w:family w:val="decorative"/>
    <w:pitch w:val="default"/>
    <w:sig w:usb0="E0002AFF" w:usb1="C0007843" w:usb2="00000009" w:usb3="00000000" w:csb0="400001FF" w:csb1="FFFF0000"/>
  </w:font>
  <w:font w:name="楷体">
    <w:panose1 w:val="02010609060101010101"/>
    <w:charset w:val="86"/>
    <w:family w:val="decorative"/>
    <w:pitch w:val="default"/>
    <w:sig w:usb0="800002BF" w:usb1="38CF7CFA" w:usb2="00000016" w:usb3="00000000" w:csb0="00040001" w:csb1="00000000"/>
  </w:font>
  <w:font w:name="楷体_GB2312">
    <w:panose1 w:val="02010609030101010101"/>
    <w:charset w:val="86"/>
    <w:family w:val="decorative"/>
    <w:pitch w:val="default"/>
    <w:sig w:usb0="00000001" w:usb1="080E0000" w:usb2="00000000" w:usb3="00000000" w:csb0="00040000" w:csb1="00000000"/>
  </w:font>
  <w:font w:name="Arial">
    <w:panose1 w:val="020B0604020202020204"/>
    <w:charset w:val="00"/>
    <w:family w:val="roma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0"/>
        <w:rFonts w:hint="eastAsia" w:ascii="宋体" w:hAnsi="宋体" w:eastAsia="宋体" w:cs="宋体"/>
        <w:sz w:val="28"/>
        <w:szCs w:val="28"/>
      </w:rPr>
    </w:pPr>
    <w:r>
      <w:rPr>
        <w:rFonts w:hint="eastAsia" w:ascii="宋体" w:hAnsi="宋体" w:eastAsia="宋体" w:cs="宋体"/>
        <w:sz w:val="28"/>
        <w:szCs w:val="28"/>
      </w:rPr>
      <w:fldChar w:fldCharType="begin"/>
    </w:r>
    <w:r>
      <w:rPr>
        <w:rStyle w:val="10"/>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10"/>
        <w:rFonts w:hint="eastAsia" w:ascii="宋体" w:hAnsi="宋体" w:eastAsia="宋体" w:cs="宋体"/>
        <w:sz w:val="28"/>
        <w:szCs w:val="28"/>
      </w:rPr>
      <w:t>18</w:t>
    </w:r>
    <w:r>
      <w:rPr>
        <w:rFonts w:hint="eastAsia" w:ascii="宋体" w:hAnsi="宋体" w:eastAsia="宋体" w:cs="宋体"/>
        <w:sz w:val="28"/>
        <w:szCs w:val="28"/>
      </w:rP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0"/>
      </w:rPr>
    </w:pPr>
    <w:r>
      <w:fldChar w:fldCharType="begin"/>
    </w:r>
    <w:r>
      <w:rPr>
        <w:rStyle w:val="10"/>
      </w:rPr>
      <w:instrText xml:space="preserve">PAGE  </w:instrText>
    </w:r>
    <w:r>
      <w:fldChar w:fldCharType="separate"/>
    </w:r>
    <w:r>
      <w:fldChar w:fldCharType="end"/>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791460836">
    <w:nsid w:val="6AC785E4"/>
    <w:multiLevelType w:val="singleLevel"/>
    <w:tmpl w:val="6AC785E4"/>
    <w:lvl w:ilvl="0" w:tentative="1">
      <w:start w:val="1"/>
      <w:numFmt w:val="chineseCounting"/>
      <w:suff w:val="nothing"/>
      <w:lvlText w:val="%1、"/>
      <w:lvlJc w:val="left"/>
    </w:lvl>
  </w:abstractNum>
  <w:abstractNum w:abstractNumId="3732585098">
    <w:nsid w:val="DE7ABA8A"/>
    <w:multiLevelType w:val="singleLevel"/>
    <w:tmpl w:val="DE7ABA8A"/>
    <w:lvl w:ilvl="0" w:tentative="1">
      <w:start w:val="1"/>
      <w:numFmt w:val="chineseCounting"/>
      <w:suff w:val="nothing"/>
      <w:lvlText w:val="%1、"/>
      <w:lvlJc w:val="left"/>
      <w:rPr>
        <w:rFonts w:hint="eastAsia"/>
      </w:rPr>
    </w:lvl>
  </w:abstractNum>
  <w:abstractNum w:abstractNumId="1721617789">
    <w:nsid w:val="669DCD7D"/>
    <w:multiLevelType w:val="singleLevel"/>
    <w:tmpl w:val="669DCD7D"/>
    <w:lvl w:ilvl="0" w:tentative="1">
      <w:start w:val="1"/>
      <w:numFmt w:val="decimal"/>
      <w:suff w:val="nothing"/>
      <w:lvlText w:val="%1."/>
      <w:lvlJc w:val="left"/>
    </w:lvl>
  </w:abstractNum>
  <w:abstractNum w:abstractNumId="2952539596">
    <w:nsid w:val="AFFC2DCC"/>
    <w:multiLevelType w:val="singleLevel"/>
    <w:tmpl w:val="AFFC2DCC"/>
    <w:lvl w:ilvl="0" w:tentative="1">
      <w:start w:val="1"/>
      <w:numFmt w:val="chineseCounting"/>
      <w:suff w:val="nothing"/>
      <w:lvlText w:val="%1、"/>
      <w:lvlJc w:val="left"/>
      <w:rPr>
        <w:rFonts w:hint="eastAsia"/>
      </w:rPr>
    </w:lvl>
  </w:abstractNum>
  <w:num w:numId="1">
    <w:abstractNumId w:val="1791460836"/>
  </w:num>
  <w:num w:numId="2">
    <w:abstractNumId w:val="3732585098"/>
  </w:num>
  <w:num w:numId="3">
    <w:abstractNumId w:val="1721617789"/>
  </w:num>
  <w:num w:numId="4">
    <w:abstractNumId w:val="29525395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lZThlZDk5ZTQ4MTFjNGY3MjIxNTdiOWMzZmQwMWMifQ=="/>
  </w:docVars>
  <w:rsids>
    <w:rsidRoot w:val="A7F73C99"/>
    <w:rsid w:val="00064A91"/>
    <w:rsid w:val="000718C4"/>
    <w:rsid w:val="000779B0"/>
    <w:rsid w:val="001E4E23"/>
    <w:rsid w:val="001E510D"/>
    <w:rsid w:val="001F28C1"/>
    <w:rsid w:val="001F4EC0"/>
    <w:rsid w:val="00213789"/>
    <w:rsid w:val="002A6E07"/>
    <w:rsid w:val="0034456B"/>
    <w:rsid w:val="003D2F77"/>
    <w:rsid w:val="004C755C"/>
    <w:rsid w:val="004D515A"/>
    <w:rsid w:val="004D5572"/>
    <w:rsid w:val="0050273F"/>
    <w:rsid w:val="00513897"/>
    <w:rsid w:val="00530C81"/>
    <w:rsid w:val="005C43A2"/>
    <w:rsid w:val="005E64FB"/>
    <w:rsid w:val="005F5987"/>
    <w:rsid w:val="00602EED"/>
    <w:rsid w:val="006B0D64"/>
    <w:rsid w:val="00722CA0"/>
    <w:rsid w:val="00731FC7"/>
    <w:rsid w:val="00740E64"/>
    <w:rsid w:val="00754F6E"/>
    <w:rsid w:val="007A4101"/>
    <w:rsid w:val="008232A9"/>
    <w:rsid w:val="00896ADB"/>
    <w:rsid w:val="009A2744"/>
    <w:rsid w:val="00A54A37"/>
    <w:rsid w:val="00A70448"/>
    <w:rsid w:val="00AA19F3"/>
    <w:rsid w:val="00AC28EE"/>
    <w:rsid w:val="00AC3F0E"/>
    <w:rsid w:val="00B36E61"/>
    <w:rsid w:val="00B409FF"/>
    <w:rsid w:val="00B4133E"/>
    <w:rsid w:val="00B54DE8"/>
    <w:rsid w:val="00B63E9E"/>
    <w:rsid w:val="00BC0439"/>
    <w:rsid w:val="00C04C21"/>
    <w:rsid w:val="00C7436A"/>
    <w:rsid w:val="00CA0F14"/>
    <w:rsid w:val="00CA536B"/>
    <w:rsid w:val="00CB0D1E"/>
    <w:rsid w:val="00CD6E49"/>
    <w:rsid w:val="00CD794A"/>
    <w:rsid w:val="00DB612B"/>
    <w:rsid w:val="00DC2A37"/>
    <w:rsid w:val="00E07782"/>
    <w:rsid w:val="00E70EA3"/>
    <w:rsid w:val="00F0336A"/>
    <w:rsid w:val="00F06DA9"/>
    <w:rsid w:val="00F103D6"/>
    <w:rsid w:val="00F25220"/>
    <w:rsid w:val="00FA2884"/>
    <w:rsid w:val="00FC03DC"/>
    <w:rsid w:val="00FC5708"/>
    <w:rsid w:val="018F178A"/>
    <w:rsid w:val="019F6F3C"/>
    <w:rsid w:val="01FA646A"/>
    <w:rsid w:val="02B27CB7"/>
    <w:rsid w:val="02C93FA4"/>
    <w:rsid w:val="035166A0"/>
    <w:rsid w:val="03AF1619"/>
    <w:rsid w:val="0439565C"/>
    <w:rsid w:val="04CB1139"/>
    <w:rsid w:val="052443B9"/>
    <w:rsid w:val="05D606C4"/>
    <w:rsid w:val="061315ED"/>
    <w:rsid w:val="063D42BF"/>
    <w:rsid w:val="06400C4E"/>
    <w:rsid w:val="064E0C2E"/>
    <w:rsid w:val="07390A29"/>
    <w:rsid w:val="077B5F19"/>
    <w:rsid w:val="07AE1313"/>
    <w:rsid w:val="080B7C62"/>
    <w:rsid w:val="08586B9F"/>
    <w:rsid w:val="088E423E"/>
    <w:rsid w:val="09201287"/>
    <w:rsid w:val="096F7DA8"/>
    <w:rsid w:val="09844788"/>
    <w:rsid w:val="09CA4458"/>
    <w:rsid w:val="0ACC2789"/>
    <w:rsid w:val="0AF81AF7"/>
    <w:rsid w:val="0B8646CF"/>
    <w:rsid w:val="0C7A7D86"/>
    <w:rsid w:val="0CC16AB8"/>
    <w:rsid w:val="0CF109E4"/>
    <w:rsid w:val="0DE36485"/>
    <w:rsid w:val="0EB93BB8"/>
    <w:rsid w:val="0F0D0E98"/>
    <w:rsid w:val="0F5B4403"/>
    <w:rsid w:val="0F64775C"/>
    <w:rsid w:val="0F796DD4"/>
    <w:rsid w:val="0F8D6838"/>
    <w:rsid w:val="0FB472C4"/>
    <w:rsid w:val="0FC80124"/>
    <w:rsid w:val="106D0892"/>
    <w:rsid w:val="10A44F42"/>
    <w:rsid w:val="11085C62"/>
    <w:rsid w:val="11DF1AD8"/>
    <w:rsid w:val="123B7D69"/>
    <w:rsid w:val="12E519AF"/>
    <w:rsid w:val="13392F06"/>
    <w:rsid w:val="13473808"/>
    <w:rsid w:val="136F98C7"/>
    <w:rsid w:val="137E2201"/>
    <w:rsid w:val="13B40A84"/>
    <w:rsid w:val="13CC1D73"/>
    <w:rsid w:val="140C324D"/>
    <w:rsid w:val="14EC6858"/>
    <w:rsid w:val="15462AEB"/>
    <w:rsid w:val="16570082"/>
    <w:rsid w:val="17427E68"/>
    <w:rsid w:val="1755065F"/>
    <w:rsid w:val="17C546C5"/>
    <w:rsid w:val="17CE5075"/>
    <w:rsid w:val="17F378CF"/>
    <w:rsid w:val="19195EBD"/>
    <w:rsid w:val="191A042B"/>
    <w:rsid w:val="193351BD"/>
    <w:rsid w:val="1AE108A8"/>
    <w:rsid w:val="1AFC29C9"/>
    <w:rsid w:val="1B067F9A"/>
    <w:rsid w:val="1BB27B8D"/>
    <w:rsid w:val="1CA52F2E"/>
    <w:rsid w:val="1D97300C"/>
    <w:rsid w:val="1DEC7774"/>
    <w:rsid w:val="1E334D1C"/>
    <w:rsid w:val="1E3630B9"/>
    <w:rsid w:val="1E766B63"/>
    <w:rsid w:val="1F3851EE"/>
    <w:rsid w:val="1F5333BD"/>
    <w:rsid w:val="20655D5D"/>
    <w:rsid w:val="20E52503"/>
    <w:rsid w:val="214144AA"/>
    <w:rsid w:val="217129CF"/>
    <w:rsid w:val="21DD73E8"/>
    <w:rsid w:val="227E1DD6"/>
    <w:rsid w:val="229E15FF"/>
    <w:rsid w:val="22FB1D2D"/>
    <w:rsid w:val="23055079"/>
    <w:rsid w:val="23B61A99"/>
    <w:rsid w:val="24013373"/>
    <w:rsid w:val="2501519B"/>
    <w:rsid w:val="25645F0E"/>
    <w:rsid w:val="257627E9"/>
    <w:rsid w:val="25ED2A5F"/>
    <w:rsid w:val="25F4157C"/>
    <w:rsid w:val="26182173"/>
    <w:rsid w:val="26C0114E"/>
    <w:rsid w:val="26EEC2B5"/>
    <w:rsid w:val="29472309"/>
    <w:rsid w:val="2B406E77"/>
    <w:rsid w:val="2B6608BF"/>
    <w:rsid w:val="2BEB42CD"/>
    <w:rsid w:val="2BF67536"/>
    <w:rsid w:val="2C2A0C43"/>
    <w:rsid w:val="2C895B0F"/>
    <w:rsid w:val="2CE83FA0"/>
    <w:rsid w:val="2D1E73A5"/>
    <w:rsid w:val="2D7670AC"/>
    <w:rsid w:val="2D984D48"/>
    <w:rsid w:val="2DAA682A"/>
    <w:rsid w:val="2DB229DA"/>
    <w:rsid w:val="2DE175A9"/>
    <w:rsid w:val="2E141A06"/>
    <w:rsid w:val="2E14210A"/>
    <w:rsid w:val="30282477"/>
    <w:rsid w:val="305676EA"/>
    <w:rsid w:val="30DB4067"/>
    <w:rsid w:val="30FD3FBD"/>
    <w:rsid w:val="325C1FB4"/>
    <w:rsid w:val="32717154"/>
    <w:rsid w:val="32C41A8B"/>
    <w:rsid w:val="33374D42"/>
    <w:rsid w:val="338920C9"/>
    <w:rsid w:val="340B749B"/>
    <w:rsid w:val="345F4C5E"/>
    <w:rsid w:val="34B63260"/>
    <w:rsid w:val="34DD7483"/>
    <w:rsid w:val="35910890"/>
    <w:rsid w:val="35F02D9E"/>
    <w:rsid w:val="36142F59"/>
    <w:rsid w:val="36E1756D"/>
    <w:rsid w:val="36ED2315"/>
    <w:rsid w:val="37471FA2"/>
    <w:rsid w:val="37C0141E"/>
    <w:rsid w:val="37CA3180"/>
    <w:rsid w:val="37D7290F"/>
    <w:rsid w:val="37FDA7E2"/>
    <w:rsid w:val="389D2A9B"/>
    <w:rsid w:val="3A314D88"/>
    <w:rsid w:val="3A6D2B52"/>
    <w:rsid w:val="3A746883"/>
    <w:rsid w:val="3C2F3A70"/>
    <w:rsid w:val="3C8A1D00"/>
    <w:rsid w:val="3CA15DE9"/>
    <w:rsid w:val="3CA217C5"/>
    <w:rsid w:val="3D0F0457"/>
    <w:rsid w:val="3D314483"/>
    <w:rsid w:val="3D572AF8"/>
    <w:rsid w:val="3DFA2EB5"/>
    <w:rsid w:val="3E7C19CE"/>
    <w:rsid w:val="3ED05CC4"/>
    <w:rsid w:val="3F1B436C"/>
    <w:rsid w:val="3FD02B45"/>
    <w:rsid w:val="3FE61EE5"/>
    <w:rsid w:val="3FEE4977"/>
    <w:rsid w:val="406508EE"/>
    <w:rsid w:val="408D6263"/>
    <w:rsid w:val="417601D7"/>
    <w:rsid w:val="41B40CEE"/>
    <w:rsid w:val="41BE5843"/>
    <w:rsid w:val="42696A9E"/>
    <w:rsid w:val="42834F1E"/>
    <w:rsid w:val="42C75B13"/>
    <w:rsid w:val="44C361AA"/>
    <w:rsid w:val="44CB2EA3"/>
    <w:rsid w:val="45060392"/>
    <w:rsid w:val="46773AE2"/>
    <w:rsid w:val="46936A38"/>
    <w:rsid w:val="473C53C2"/>
    <w:rsid w:val="47737D35"/>
    <w:rsid w:val="47CF2426"/>
    <w:rsid w:val="47FA09F2"/>
    <w:rsid w:val="48035F55"/>
    <w:rsid w:val="48317291"/>
    <w:rsid w:val="484D5079"/>
    <w:rsid w:val="485F7024"/>
    <w:rsid w:val="488F68F0"/>
    <w:rsid w:val="48C447EC"/>
    <w:rsid w:val="48E70666"/>
    <w:rsid w:val="49D673A2"/>
    <w:rsid w:val="49EA45B7"/>
    <w:rsid w:val="4AB81B55"/>
    <w:rsid w:val="4B5B5883"/>
    <w:rsid w:val="4B6C2662"/>
    <w:rsid w:val="4B816E96"/>
    <w:rsid w:val="4B933A5D"/>
    <w:rsid w:val="4C6877E5"/>
    <w:rsid w:val="4CC51A8E"/>
    <w:rsid w:val="4CDB59E1"/>
    <w:rsid w:val="4D0471E8"/>
    <w:rsid w:val="4D4E6D7A"/>
    <w:rsid w:val="4D6A468D"/>
    <w:rsid w:val="4DD2357B"/>
    <w:rsid w:val="4E2909D4"/>
    <w:rsid w:val="4E79136D"/>
    <w:rsid w:val="4EA86137"/>
    <w:rsid w:val="4EB45DCF"/>
    <w:rsid w:val="4FDF714A"/>
    <w:rsid w:val="5096127C"/>
    <w:rsid w:val="50A57BD5"/>
    <w:rsid w:val="5115026C"/>
    <w:rsid w:val="513C6D08"/>
    <w:rsid w:val="51795E7B"/>
    <w:rsid w:val="51DA7627"/>
    <w:rsid w:val="54AB6860"/>
    <w:rsid w:val="54F8429F"/>
    <w:rsid w:val="55012956"/>
    <w:rsid w:val="5504283C"/>
    <w:rsid w:val="55384597"/>
    <w:rsid w:val="5584185C"/>
    <w:rsid w:val="56031AB3"/>
    <w:rsid w:val="56280964"/>
    <w:rsid w:val="565D120C"/>
    <w:rsid w:val="56B81EA5"/>
    <w:rsid w:val="56CA7FD0"/>
    <w:rsid w:val="56CC4FD7"/>
    <w:rsid w:val="57832294"/>
    <w:rsid w:val="57FA38D1"/>
    <w:rsid w:val="58174786"/>
    <w:rsid w:val="58A83729"/>
    <w:rsid w:val="58E348F8"/>
    <w:rsid w:val="59253504"/>
    <w:rsid w:val="5A502E9D"/>
    <w:rsid w:val="5A6A4AC7"/>
    <w:rsid w:val="5AB97EAE"/>
    <w:rsid w:val="5ADC4C11"/>
    <w:rsid w:val="5B81149C"/>
    <w:rsid w:val="5BEB4AED"/>
    <w:rsid w:val="5C725069"/>
    <w:rsid w:val="5CF838CA"/>
    <w:rsid w:val="5D9E1657"/>
    <w:rsid w:val="5F5A561D"/>
    <w:rsid w:val="5F7D3333"/>
    <w:rsid w:val="601D7037"/>
    <w:rsid w:val="61385890"/>
    <w:rsid w:val="61540F99"/>
    <w:rsid w:val="617E6F17"/>
    <w:rsid w:val="63FA785D"/>
    <w:rsid w:val="64810F4A"/>
    <w:rsid w:val="64CC0566"/>
    <w:rsid w:val="66CB4B3F"/>
    <w:rsid w:val="67E131CD"/>
    <w:rsid w:val="687436E1"/>
    <w:rsid w:val="68A64A0C"/>
    <w:rsid w:val="6900568B"/>
    <w:rsid w:val="6A6B4546"/>
    <w:rsid w:val="6A8E20AF"/>
    <w:rsid w:val="6AAE0092"/>
    <w:rsid w:val="6AC562C4"/>
    <w:rsid w:val="6B282198"/>
    <w:rsid w:val="6B6463E4"/>
    <w:rsid w:val="6CAE0AA5"/>
    <w:rsid w:val="6CCB390C"/>
    <w:rsid w:val="6DA45C50"/>
    <w:rsid w:val="6E9A7825"/>
    <w:rsid w:val="6F670F9B"/>
    <w:rsid w:val="707A7D1D"/>
    <w:rsid w:val="7093016E"/>
    <w:rsid w:val="715B1E2B"/>
    <w:rsid w:val="720768D8"/>
    <w:rsid w:val="72170252"/>
    <w:rsid w:val="7331665C"/>
    <w:rsid w:val="737450E0"/>
    <w:rsid w:val="74054476"/>
    <w:rsid w:val="742F38C4"/>
    <w:rsid w:val="74AB66DC"/>
    <w:rsid w:val="74C4154C"/>
    <w:rsid w:val="75956FFF"/>
    <w:rsid w:val="75D706E7"/>
    <w:rsid w:val="76FE3A8B"/>
    <w:rsid w:val="774867CB"/>
    <w:rsid w:val="778D20C9"/>
    <w:rsid w:val="77AA2D01"/>
    <w:rsid w:val="783C4637"/>
    <w:rsid w:val="7887339C"/>
    <w:rsid w:val="78D36F43"/>
    <w:rsid w:val="793C6888"/>
    <w:rsid w:val="797E7F01"/>
    <w:rsid w:val="79E363B5"/>
    <w:rsid w:val="7AD22D50"/>
    <w:rsid w:val="7BA82195"/>
    <w:rsid w:val="7CDE1DBD"/>
    <w:rsid w:val="7D943A85"/>
    <w:rsid w:val="7DA467FE"/>
    <w:rsid w:val="7DB0448C"/>
    <w:rsid w:val="7DD338DD"/>
    <w:rsid w:val="7E03603B"/>
    <w:rsid w:val="7E5F9AA4"/>
    <w:rsid w:val="7E8D76BD"/>
    <w:rsid w:val="7E97684A"/>
    <w:rsid w:val="7F3669EE"/>
    <w:rsid w:val="8FFC8888"/>
    <w:rsid w:val="A7F73C99"/>
    <w:rsid w:val="BFFE3BF4"/>
    <w:rsid w:val="DFEBDA37"/>
    <w:rsid w:val="EF6FCA1D"/>
    <w:rsid w:val="EFFF57D6"/>
    <w:rsid w:val="FD33A2D0"/>
    <w:rsid w:val="FF7FA20F"/>
    <w:rsid w:val="FFFE81A3"/>
  </w:rsid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szCs w:val="22"/>
      <w:lang w:val="en-US" w:eastAsia="zh-CN"/>
    </w:rPr>
  </w:style>
  <w:style w:type="paragraph" w:styleId="4">
    <w:name w:val="annotation subject"/>
    <w:basedOn w:val="5"/>
    <w:next w:val="5"/>
    <w:link w:val="16"/>
    <w:qFormat/>
    <w:uiPriority w:val="0"/>
    <w:rPr>
      <w:b/>
      <w:bCs/>
    </w:rPr>
  </w:style>
  <w:style w:type="paragraph" w:styleId="5">
    <w:name w:val="annotation text"/>
    <w:basedOn w:val="1"/>
    <w:link w:val="13"/>
    <w:qFormat/>
    <w:uiPriority w:val="0"/>
    <w:pPr>
      <w:jc w:val="left"/>
    </w:pPr>
  </w:style>
  <w:style w:type="paragraph" w:styleId="6">
    <w:name w:val="Balloon Text"/>
    <w:basedOn w:val="1"/>
    <w:link w:val="14"/>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styleId="10">
    <w:name w:val="page number"/>
    <w:qFormat/>
    <w:uiPriority w:val="0"/>
  </w:style>
  <w:style w:type="character" w:styleId="11">
    <w:name w:val="annotation reference"/>
    <w:qFormat/>
    <w:uiPriority w:val="0"/>
    <w:rPr>
      <w:sz w:val="21"/>
      <w:szCs w:val="21"/>
    </w:rPr>
  </w:style>
  <w:style w:type="character" w:customStyle="1" w:styleId="13">
    <w:name w:val="批注文字 Char"/>
    <w:link w:val="5"/>
    <w:qFormat/>
    <w:uiPriority w:val="0"/>
    <w:rPr>
      <w:kern w:val="2"/>
      <w:sz w:val="21"/>
      <w:szCs w:val="24"/>
    </w:rPr>
  </w:style>
  <w:style w:type="character" w:customStyle="1" w:styleId="14">
    <w:name w:val="批注框文本 Char"/>
    <w:link w:val="6"/>
    <w:qFormat/>
    <w:uiPriority w:val="0"/>
    <w:rPr>
      <w:kern w:val="2"/>
      <w:sz w:val="18"/>
      <w:szCs w:val="18"/>
    </w:rPr>
  </w:style>
  <w:style w:type="character" w:customStyle="1" w:styleId="15">
    <w:name w:val="页眉 Char"/>
    <w:link w:val="8"/>
    <w:qFormat/>
    <w:uiPriority w:val="0"/>
    <w:rPr>
      <w:kern w:val="2"/>
      <w:sz w:val="18"/>
      <w:szCs w:val="18"/>
    </w:rPr>
  </w:style>
  <w:style w:type="character" w:customStyle="1" w:styleId="16">
    <w:name w:val="批注主题 Char"/>
    <w:link w:val="4"/>
    <w:qFormat/>
    <w:uiPriority w:val="0"/>
    <w:rPr>
      <w:b/>
      <w:bCs/>
      <w:kern w:val="2"/>
      <w:sz w:val="21"/>
      <w:szCs w:val="24"/>
    </w:rPr>
  </w:style>
  <w:style w:type="paragraph" w:customStyle="1" w:styleId="17">
    <w:name w:val="WPSOffice手动目录 1"/>
    <w:qFormat/>
    <w:uiPriority w:val="0"/>
    <w:rPr>
      <w:rFonts w:ascii="Times New Roman" w:hAnsi="Times New Roman" w:eastAsia="宋体" w:cs="Times New Roman"/>
      <w:lang w:val="en-US" w:eastAsia="zh-CN" w:bidi="ar-SA"/>
    </w:rPr>
  </w:style>
  <w:style w:type="paragraph" w:customStyle="1" w:styleId="18">
    <w:name w:val="WPSOffice手动目录 2"/>
    <w:qFormat/>
    <w:uiPriority w:val="0"/>
    <w:pPr>
      <w:ind w:leftChars="200"/>
    </w:pPr>
    <w:rPr>
      <w:rFonts w:ascii="Times New Roman" w:hAnsi="Times New Roman" w:eastAsia="宋体" w:cs="Times New Roman"/>
      <w:lang w:val="en-US" w:eastAsia="zh-CN" w:bidi="ar-SA"/>
    </w:rPr>
  </w:style>
  <w:style w:type="paragraph" w:customStyle="1" w:styleId="19">
    <w:name w:val="正文1 Char Char Char"/>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1086</Words>
  <Characters>2053</Characters>
  <Lines>67</Lines>
  <Paragraphs>18</Paragraphs>
  <ScaleCrop>false</ScaleCrop>
  <LinksUpToDate>false</LinksUpToDate>
  <CharactersWithSpaces>2089</CharactersWithSpaces>
  <Application>WPS Office_10.8.0.5603_F1E327BC-269C-435d-A152-05C5408002CA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2024-07-24T03:26:00Z</dcterms:created>
  <dc:creator>uos</dc:creator>
  <cp:lastModifiedBy>ph</cp:lastModifiedBy>
  <cp:lastPrinted>2023-08-03T00:58:00Z</cp:lastPrinted>
  <dcterms:modified xsi:type="dcterms:W3CDTF">2026-10-10T02:48:08Z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2052-10.8.0.5603</vt:lpwstr>
  </property>
  <property fmtid="{D5CDD505-2E9C-101B-9397-08002B2CF9AE}" pid="3" name="ICV">
    <vt:lpwstr>03AE7F14E2DC4BACB053764200FF950D_13</vt:lpwstr>
  </property>
  <property fmtid="{D5CDD505-2E9C-101B-9397-08002B2CF9AE}" pid="4" name="KSOTemplateDocerSaveRecord">
    <vt:lpwstr>eyJoZGlkIjoiY2VlZThlZDk5ZTQ4MTFjNGY3MjIxNTdiOWMzZmQwMWMiLCJ1c2VySWQiOiIyMzQ5MTc1OTYifQ==</vt:lpwstr>
  </property>
</Properties>
</file>