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E356A">
      <w:pPr>
        <w:spacing w:line="578" w:lineRule="exact"/>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三亚市公安局吉阳分局</w:t>
      </w:r>
      <w:r>
        <w:rPr>
          <w:rFonts w:hint="default" w:asciiTheme="majorEastAsia" w:hAnsiTheme="majorEastAsia" w:eastAsiaTheme="majorEastAsia" w:cstheme="majorEastAsia"/>
          <w:b/>
          <w:bCs/>
          <w:sz w:val="44"/>
          <w:szCs w:val="44"/>
          <w:lang w:val="en-US"/>
        </w:rPr>
        <w:t>2025</w:t>
      </w:r>
      <w:r>
        <w:rPr>
          <w:rFonts w:hint="eastAsia" w:asciiTheme="majorEastAsia" w:hAnsiTheme="majorEastAsia" w:eastAsiaTheme="majorEastAsia" w:cstheme="majorEastAsia"/>
          <w:b/>
          <w:bCs/>
          <w:sz w:val="44"/>
          <w:szCs w:val="44"/>
        </w:rPr>
        <w:t>年度部门决算公开报告</w:t>
      </w:r>
    </w:p>
    <w:p w14:paraId="125A150A">
      <w:pPr>
        <w:pStyle w:val="2"/>
        <w:rPr>
          <w:rFonts w:hint="eastAsia"/>
        </w:rPr>
      </w:pPr>
    </w:p>
    <w:p w14:paraId="6A8F1018">
      <w:pPr>
        <w:spacing w:line="578" w:lineRule="exact"/>
        <w:jc w:val="center"/>
        <w:rPr>
          <w:rFonts w:hint="eastAsia" w:ascii="黑体" w:hAnsi="黑体" w:eastAsia="黑体" w:cs="黑体"/>
          <w:sz w:val="44"/>
          <w:szCs w:val="44"/>
        </w:rPr>
      </w:pPr>
      <w:bookmarkStart w:id="0" w:name="_Toc11440_WPSOffice_Type2"/>
      <w:r>
        <w:rPr>
          <w:rFonts w:hint="eastAsia" w:ascii="黑体" w:hAnsi="黑体" w:eastAsia="黑体" w:cs="黑体"/>
          <w:sz w:val="44"/>
          <w:szCs w:val="44"/>
        </w:rPr>
        <w:t>目  录</w:t>
      </w:r>
    </w:p>
    <w:p w14:paraId="6A2F743B">
      <w:pPr>
        <w:pStyle w:val="17"/>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_Toc1704_WPSOffice_Level1 </w:instrText>
      </w:r>
      <w:r>
        <w:rPr>
          <w:sz w:val="32"/>
          <w:szCs w:val="32"/>
        </w:rPr>
        <w:fldChar w:fldCharType="separate"/>
      </w:r>
      <w:r>
        <w:rPr>
          <w:rFonts w:hint="eastAsia" w:ascii="黑体" w:hAnsi="ˎ̥" w:eastAsia="黑体"/>
          <w:sz w:val="32"/>
          <w:szCs w:val="32"/>
        </w:rPr>
        <w:t>第一部分 基本情况</w:t>
      </w:r>
      <w:r>
        <w:rPr>
          <w:sz w:val="32"/>
          <w:szCs w:val="32"/>
        </w:rPr>
        <w:tab/>
      </w:r>
      <w:r>
        <w:rPr>
          <w:sz w:val="32"/>
          <w:szCs w:val="32"/>
        </w:rPr>
        <w:fldChar w:fldCharType="end"/>
      </w:r>
      <w:r>
        <w:rPr>
          <w:rFonts w:hint="eastAsia"/>
          <w:sz w:val="32"/>
          <w:szCs w:val="32"/>
        </w:rPr>
        <w:t>2</w:t>
      </w:r>
    </w:p>
    <w:p w14:paraId="29CBFE79">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_Toc20274_WPSOffice_Level2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一、部门（单位）职责</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14:paraId="09089809">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_Toc4833_WPSOffice_Level2 </w:instrText>
      </w:r>
      <w:r>
        <w:rPr>
          <w:rFonts w:hint="eastAsia" w:ascii="仿宋" w:hAnsi="仿宋" w:eastAsia="仿宋" w:cs="仿宋"/>
          <w:sz w:val="32"/>
          <w:szCs w:val="32"/>
        </w:rPr>
        <w:fldChar w:fldCharType="separate"/>
      </w:r>
      <w:r>
        <w:rPr>
          <w:rFonts w:hint="eastAsia" w:ascii="仿宋" w:hAnsi="仿宋" w:eastAsia="仿宋" w:cs="仿宋"/>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2</w:t>
      </w:r>
    </w:p>
    <w:p w14:paraId="3B013F23">
      <w:pPr>
        <w:pStyle w:val="17"/>
        <w:tabs>
          <w:tab w:val="right" w:leader="dot" w:pos="8306"/>
        </w:tabs>
        <w:spacing w:line="578" w:lineRule="exact"/>
        <w:rPr>
          <w:rFonts w:hint="eastAsia" w:eastAsia="宋体"/>
          <w:sz w:val="32"/>
          <w:szCs w:val="32"/>
          <w:lang w:eastAsia="zh-CN"/>
        </w:rPr>
      </w:pPr>
      <w:r>
        <w:rPr>
          <w:sz w:val="32"/>
          <w:szCs w:val="32"/>
        </w:rPr>
        <w:fldChar w:fldCharType="begin"/>
      </w:r>
      <w:r>
        <w:rPr>
          <w:sz w:val="32"/>
          <w:szCs w:val="32"/>
        </w:rPr>
        <w:instrText xml:space="preserve"> HYPERLINK \l _Toc28253_WPSOffice_Level1 </w:instrText>
      </w:r>
      <w:r>
        <w:rPr>
          <w:sz w:val="32"/>
          <w:szCs w:val="32"/>
        </w:rPr>
        <w:fldChar w:fldCharType="separate"/>
      </w: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年度部门决算公开表</w:t>
      </w:r>
      <w:r>
        <w:rPr>
          <w:sz w:val="32"/>
          <w:szCs w:val="32"/>
        </w:rPr>
        <w:tab/>
      </w:r>
      <w:r>
        <w:rPr>
          <w:sz w:val="32"/>
          <w:szCs w:val="32"/>
        </w:rPr>
        <w:fldChar w:fldCharType="end"/>
      </w:r>
      <w:r>
        <w:rPr>
          <w:rFonts w:hint="eastAsia"/>
          <w:sz w:val="32"/>
          <w:szCs w:val="32"/>
          <w:lang w:val="en-US" w:eastAsia="zh-CN"/>
        </w:rPr>
        <w:t>3</w:t>
      </w:r>
    </w:p>
    <w:p w14:paraId="6E57563D">
      <w:pPr>
        <w:pStyle w:val="17"/>
        <w:tabs>
          <w:tab w:val="right" w:leader="dot" w:pos="8306"/>
        </w:tabs>
        <w:spacing w:line="578" w:lineRule="exact"/>
        <w:rPr>
          <w:rFonts w:hint="eastAsia"/>
          <w:sz w:val="32"/>
          <w:szCs w:val="32"/>
        </w:rPr>
      </w:pPr>
      <w:r>
        <w:rPr>
          <w:sz w:val="32"/>
          <w:szCs w:val="32"/>
        </w:rPr>
        <w:fldChar w:fldCharType="begin"/>
      </w:r>
      <w:r>
        <w:rPr>
          <w:sz w:val="32"/>
          <w:szCs w:val="32"/>
        </w:rPr>
        <w:instrText xml:space="preserve"> HYPERLINK \l _Toc27590_WPSOffice_Level1 </w:instrText>
      </w:r>
      <w:r>
        <w:rPr>
          <w:sz w:val="32"/>
          <w:szCs w:val="32"/>
        </w:rPr>
        <w:fldChar w:fldCharType="separate"/>
      </w:r>
      <w:r>
        <w:rPr>
          <w:rFonts w:hint="eastAsia" w:ascii="黑体" w:hAnsi="黑体" w:eastAsia="黑体" w:cs="黑体"/>
          <w:sz w:val="32"/>
          <w:szCs w:val="32"/>
        </w:rPr>
        <w:t>第三部分</w:t>
      </w:r>
      <w:r>
        <w:rPr>
          <w:rFonts w:hint="eastAsia"/>
          <w:sz w:val="32"/>
          <w:szCs w:val="32"/>
        </w:rPr>
        <w:t xml:space="preserve">  </w:t>
      </w:r>
      <w:r>
        <w:rPr>
          <w:rFonts w:hint="default" w:ascii="黑体" w:hAnsi="ˎ̥" w:eastAsia="黑体"/>
          <w:sz w:val="32"/>
          <w:szCs w:val="32"/>
          <w:lang w:val="en-US"/>
        </w:rPr>
        <w:t>2025</w:t>
      </w:r>
      <w:r>
        <w:rPr>
          <w:rFonts w:hint="eastAsia" w:ascii="黑体" w:hAnsi="ˎ̥" w:eastAsia="黑体"/>
          <w:sz w:val="32"/>
          <w:szCs w:val="32"/>
        </w:rPr>
        <w:t>年度部门决算情况说明</w:t>
      </w:r>
      <w:r>
        <w:rPr>
          <w:sz w:val="32"/>
          <w:szCs w:val="32"/>
        </w:rPr>
        <w:tab/>
      </w:r>
      <w:r>
        <w:rPr>
          <w:sz w:val="32"/>
          <w:szCs w:val="32"/>
        </w:rPr>
        <w:fldChar w:fldCharType="end"/>
      </w:r>
      <w:r>
        <w:rPr>
          <w:rFonts w:hint="eastAsia"/>
          <w:sz w:val="32"/>
          <w:szCs w:val="32"/>
        </w:rPr>
        <w:t>3</w:t>
      </w:r>
    </w:p>
    <w:p w14:paraId="65C40179">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_Toc21737_WPSOffice_Level2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一、收入支出总体情况说明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3</w:t>
      </w:r>
    </w:p>
    <w:p w14:paraId="4BD7D57F">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14:paraId="0C54764D">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14:paraId="51FC70A3">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四、财政拨款收入支出决算</w:t>
      </w:r>
      <w:r>
        <w:rPr>
          <w:rFonts w:hint="eastAsia" w:ascii="仿宋" w:hAnsi="仿宋" w:eastAsia="仿宋" w:cs="仿宋"/>
          <w:bCs/>
          <w:sz w:val="32"/>
          <w:szCs w:val="32"/>
          <w:lang w:val="en-US" w:eastAsia="zh-CN"/>
        </w:rPr>
        <w:t>总体</w:t>
      </w:r>
      <w:r>
        <w:rPr>
          <w:rFonts w:hint="eastAsia" w:ascii="仿宋" w:hAnsi="仿宋" w:eastAsia="仿宋" w:cs="仿宋"/>
          <w:bCs/>
          <w:sz w:val="32"/>
          <w:szCs w:val="32"/>
        </w:rPr>
        <w:t>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4</w:t>
      </w:r>
    </w:p>
    <w:p w14:paraId="7A0C8420">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5</w:t>
      </w:r>
    </w:p>
    <w:p w14:paraId="0F3513AE">
      <w:pPr>
        <w:pStyle w:val="18"/>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六、一般公共预算财政拨款基本支出决算情况说明</w:t>
      </w:r>
      <w:r>
        <w:rPr>
          <w:rFonts w:hint="eastAsia" w:ascii="仿宋" w:hAnsi="仿宋" w:eastAsia="仿宋" w:cs="仿宋"/>
          <w:sz w:val="32"/>
          <w:szCs w:val="32"/>
        </w:rPr>
        <w:fldChar w:fldCharType="end"/>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14C271AC">
      <w:pPr>
        <w:pStyle w:val="18"/>
        <w:numPr>
          <w:ilvl w:val="0"/>
          <w:numId w:val="0"/>
        </w:numPr>
        <w:tabs>
          <w:tab w:val="right" w:leader="dot" w:pos="8306"/>
        </w:tabs>
        <w:spacing w:line="578" w:lineRule="exact"/>
        <w:rPr>
          <w:rFonts w:hint="eastAsia" w:ascii="仿宋" w:hAnsi="仿宋" w:eastAsia="仿宋" w:cs="仿宋"/>
          <w:sz w:val="32"/>
          <w:szCs w:val="32"/>
          <w:lang w:eastAsia="zh-CN"/>
        </w:rPr>
      </w:pPr>
      <w:r>
        <w:rPr>
          <w:rFonts w:hint="eastAsia" w:ascii="仿宋" w:hAnsi="仿宋" w:eastAsia="仿宋" w:cs="仿宋"/>
          <w:bCs/>
          <w:sz w:val="32"/>
          <w:szCs w:val="32"/>
          <w:lang w:val="en-US" w:eastAsia="zh-CN"/>
        </w:rPr>
        <w:t>七、</w:t>
      </w:r>
      <w:r>
        <w:rPr>
          <w:rFonts w:hint="eastAsia" w:ascii="仿宋" w:hAnsi="仿宋" w:eastAsia="仿宋" w:cs="仿宋"/>
          <w:bCs/>
          <w:sz w:val="32"/>
          <w:szCs w:val="32"/>
        </w:rPr>
        <w:t>政府性基金预算财政拨款支出决算情况说明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8</w:t>
      </w:r>
    </w:p>
    <w:p w14:paraId="341B0484">
      <w:pPr>
        <w:pStyle w:val="18"/>
        <w:numPr>
          <w:ilvl w:val="0"/>
          <w:numId w:val="0"/>
        </w:numPr>
        <w:tabs>
          <w:tab w:val="right" w:leader="dot" w:pos="8306"/>
        </w:tabs>
        <w:spacing w:line="578" w:lineRule="exact"/>
        <w:rPr>
          <w:rFonts w:hint="eastAsia" w:ascii="仿宋" w:hAnsi="仿宋" w:eastAsia="仿宋" w:cs="仿宋"/>
          <w:sz w:val="32"/>
          <w:szCs w:val="32"/>
        </w:rPr>
      </w:pPr>
      <w:r>
        <w:rPr>
          <w:rFonts w:hint="eastAsia" w:ascii="仿宋" w:hAnsi="仿宋" w:eastAsia="仿宋" w:cs="仿宋"/>
          <w:bCs/>
          <w:sz w:val="32"/>
          <w:szCs w:val="32"/>
          <w:lang w:val="en-US" w:eastAsia="zh-CN"/>
        </w:rPr>
        <w:t>八、</w:t>
      </w:r>
      <w:r>
        <w:rPr>
          <w:rFonts w:hint="eastAsia" w:ascii="仿宋" w:hAnsi="仿宋" w:eastAsia="仿宋" w:cs="仿宋"/>
          <w:bCs/>
          <w:sz w:val="32"/>
          <w:szCs w:val="32"/>
        </w:rPr>
        <w:t>国有资本经营预算财政拨款支出决算情况说明</w:t>
      </w:r>
      <w:r>
        <w:rPr>
          <w:rFonts w:hint="eastAsia" w:ascii="仿宋" w:hAnsi="仿宋" w:eastAsia="仿宋" w:cs="仿宋"/>
          <w:sz w:val="32"/>
          <w:szCs w:val="32"/>
        </w:rPr>
        <w:tab/>
      </w:r>
      <w:r>
        <w:rPr>
          <w:rFonts w:hint="eastAsia" w:ascii="仿宋" w:hAnsi="仿宋" w:eastAsia="仿宋" w:cs="仿宋"/>
          <w:sz w:val="32"/>
          <w:szCs w:val="32"/>
        </w:rPr>
        <w:t>8</w:t>
      </w:r>
    </w:p>
    <w:p w14:paraId="4A5010BD">
      <w:pPr>
        <w:pStyle w:val="18"/>
        <w:tabs>
          <w:tab w:val="right" w:leader="dot" w:pos="8306"/>
        </w:tabs>
        <w:spacing w:line="578" w:lineRule="exact"/>
        <w:ind w:leftChars="0"/>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九、财政拨款“三公”经费支出决算情况说明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9</w:t>
      </w:r>
    </w:p>
    <w:p w14:paraId="23F091F4">
      <w:pPr>
        <w:pStyle w:val="18"/>
        <w:tabs>
          <w:tab w:val="right" w:leader="dot" w:pos="8306"/>
        </w:tabs>
        <w:spacing w:line="578" w:lineRule="exact"/>
        <w:ind w:leftChars="0"/>
        <w:rPr>
          <w:rFonts w:hint="eastAsia" w:ascii="仿宋" w:hAnsi="仿宋" w:eastAsia="仿宋" w:cs="仿宋"/>
          <w:sz w:val="32"/>
          <w:szCs w:val="32"/>
          <w:lang w:eastAsia="zh-CN"/>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_Toc19535_WPSOffice_Level2 </w:instrText>
      </w:r>
      <w:r>
        <w:rPr>
          <w:rFonts w:hint="eastAsia" w:ascii="仿宋" w:hAnsi="仿宋" w:eastAsia="仿宋" w:cs="仿宋"/>
          <w:sz w:val="32"/>
          <w:szCs w:val="32"/>
        </w:rPr>
        <w:fldChar w:fldCharType="separate"/>
      </w:r>
      <w:r>
        <w:rPr>
          <w:rFonts w:hint="eastAsia" w:ascii="仿宋" w:hAnsi="仿宋" w:eastAsia="仿宋" w:cs="仿宋"/>
          <w:bCs/>
          <w:sz w:val="32"/>
          <w:szCs w:val="32"/>
        </w:rPr>
        <w:t>十、预算绩效情况说明</w:t>
      </w:r>
      <w:r>
        <w:rPr>
          <w:rFonts w:hint="eastAsia" w:ascii="仿宋" w:hAnsi="仿宋" w:eastAsia="仿宋" w:cs="仿宋"/>
          <w:sz w:val="32"/>
          <w:szCs w:val="32"/>
        </w:rPr>
        <w:tab/>
      </w:r>
      <w:r>
        <w:rPr>
          <w:rFonts w:hint="eastAsia" w:ascii="仿宋" w:hAnsi="仿宋" w:eastAsia="仿宋" w:cs="仿宋"/>
          <w:sz w:val="32"/>
          <w:szCs w:val="32"/>
        </w:rPr>
        <w:fldChar w:fldCharType="end"/>
      </w:r>
      <w:r>
        <w:rPr>
          <w:rFonts w:hint="eastAsia" w:ascii="仿宋" w:hAnsi="仿宋" w:eastAsia="仿宋" w:cs="仿宋"/>
          <w:sz w:val="32"/>
          <w:szCs w:val="32"/>
        </w:rPr>
        <w:t>1</w:t>
      </w:r>
      <w:r>
        <w:rPr>
          <w:rFonts w:hint="eastAsia" w:ascii="仿宋" w:hAnsi="仿宋" w:eastAsia="仿宋" w:cs="仿宋"/>
          <w:sz w:val="32"/>
          <w:szCs w:val="32"/>
          <w:lang w:val="en-US" w:eastAsia="zh-CN"/>
        </w:rPr>
        <w:t>0</w:t>
      </w:r>
    </w:p>
    <w:p w14:paraId="11226842">
      <w:pPr>
        <w:pStyle w:val="18"/>
        <w:numPr>
          <w:ilvl w:val="0"/>
          <w:numId w:val="0"/>
        </w:numPr>
        <w:tabs>
          <w:tab w:val="right" w:leader="dot" w:pos="8306"/>
        </w:tabs>
        <w:spacing w:line="578" w:lineRule="exact"/>
        <w:rPr>
          <w:rFonts w:hint="eastAsia" w:ascii="仿宋" w:hAnsi="仿宋" w:eastAsia="仿宋" w:cs="仿宋"/>
          <w:sz w:val="32"/>
          <w:szCs w:val="32"/>
          <w:lang w:eastAsia="zh-CN"/>
        </w:rPr>
      </w:pPr>
      <w:r>
        <w:rPr>
          <w:rFonts w:hint="eastAsia" w:ascii="仿宋" w:hAnsi="仿宋" w:eastAsia="仿宋" w:cs="仿宋"/>
          <w:bCs/>
          <w:sz w:val="32"/>
          <w:szCs w:val="32"/>
          <w:lang w:val="en-US" w:eastAsia="zh-CN"/>
        </w:rPr>
        <w:t>十一、</w:t>
      </w:r>
      <w:r>
        <w:rPr>
          <w:rFonts w:hint="eastAsia" w:ascii="仿宋" w:hAnsi="仿宋" w:eastAsia="仿宋" w:cs="仿宋"/>
          <w:bCs/>
          <w:sz w:val="32"/>
          <w:szCs w:val="32"/>
        </w:rPr>
        <w:t>落实习惯过紧日子要求、保障重点支出情况说明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6</w:t>
      </w:r>
    </w:p>
    <w:p w14:paraId="4705ABB2">
      <w:pPr>
        <w:pStyle w:val="18"/>
        <w:tabs>
          <w:tab w:val="right" w:leader="dot" w:pos="8306"/>
        </w:tabs>
        <w:spacing w:line="578" w:lineRule="exact"/>
        <w:ind w:leftChars="0"/>
        <w:rPr>
          <w:rFonts w:hint="eastAsia" w:ascii="仿宋" w:hAnsi="仿宋" w:eastAsia="仿宋" w:cs="仿宋"/>
          <w:sz w:val="32"/>
          <w:szCs w:val="32"/>
          <w:lang w:val="en-US" w:eastAsia="zh-CN"/>
        </w:rPr>
      </w:pPr>
      <w:r>
        <w:rPr>
          <w:rFonts w:hint="eastAsia" w:ascii="仿宋" w:hAnsi="仿宋" w:eastAsia="仿宋" w:cs="仿宋"/>
          <w:bCs/>
          <w:sz w:val="32"/>
          <w:szCs w:val="32"/>
        </w:rPr>
        <w:t>十</w:t>
      </w:r>
      <w:r>
        <w:rPr>
          <w:rFonts w:hint="eastAsia" w:ascii="仿宋" w:hAnsi="仿宋" w:eastAsia="仿宋" w:cs="仿宋"/>
          <w:bCs/>
          <w:sz w:val="32"/>
          <w:szCs w:val="32"/>
          <w:lang w:val="en-US" w:eastAsia="zh-CN"/>
        </w:rPr>
        <w:t>二</w:t>
      </w:r>
      <w:r>
        <w:rPr>
          <w:rFonts w:hint="eastAsia" w:ascii="仿宋" w:hAnsi="仿宋" w:eastAsia="仿宋" w:cs="仿宋"/>
          <w:bCs/>
          <w:sz w:val="32"/>
          <w:szCs w:val="32"/>
        </w:rPr>
        <w:t>、其他重要事项情况说明</w:t>
      </w:r>
      <w:r>
        <w:rPr>
          <w:rFonts w:hint="eastAsia" w:ascii="仿宋" w:hAnsi="仿宋" w:eastAsia="仿宋" w:cs="仿宋"/>
          <w:sz w:val="32"/>
          <w:szCs w:val="32"/>
        </w:rPr>
        <w:tab/>
      </w:r>
      <w:r>
        <w:rPr>
          <w:rFonts w:hint="eastAsia" w:ascii="仿宋" w:hAnsi="仿宋" w:eastAsia="仿宋" w:cs="仿宋"/>
          <w:sz w:val="32"/>
          <w:szCs w:val="32"/>
        </w:rPr>
        <w:t>1</w:t>
      </w:r>
      <w:r>
        <w:rPr>
          <w:rFonts w:hint="eastAsia" w:ascii="仿宋" w:hAnsi="仿宋" w:eastAsia="仿宋" w:cs="仿宋"/>
          <w:sz w:val="32"/>
          <w:szCs w:val="32"/>
          <w:lang w:val="en-US" w:eastAsia="zh-CN"/>
        </w:rPr>
        <w:t>6</w:t>
      </w:r>
    </w:p>
    <w:p w14:paraId="4EC8D6DA">
      <w:pPr>
        <w:pStyle w:val="17"/>
        <w:tabs>
          <w:tab w:val="right" w:leader="dot" w:pos="8306"/>
        </w:tabs>
        <w:spacing w:line="578" w:lineRule="exact"/>
        <w:rPr>
          <w:rFonts w:hint="eastAsia" w:ascii="黑体" w:hAnsi="ˎ̥" w:eastAsia="宋体"/>
          <w:sz w:val="32"/>
          <w:szCs w:val="32"/>
          <w:lang w:eastAsia="zh-CN"/>
        </w:rPr>
      </w:pPr>
      <w:r>
        <w:rPr>
          <w:sz w:val="32"/>
          <w:szCs w:val="32"/>
        </w:rPr>
        <w:fldChar w:fldCharType="begin"/>
      </w:r>
      <w:r>
        <w:rPr>
          <w:sz w:val="32"/>
          <w:szCs w:val="32"/>
        </w:rPr>
        <w:instrText xml:space="preserve"> HYPERLINK \l _Toc15425_WPSOffice_Level1 </w:instrText>
      </w:r>
      <w:r>
        <w:rPr>
          <w:sz w:val="32"/>
          <w:szCs w:val="32"/>
        </w:rPr>
        <w:fldChar w:fldCharType="separate"/>
      </w:r>
      <w:r>
        <w:rPr>
          <w:rFonts w:hint="eastAsia" w:ascii="黑体" w:hAnsi="ˎ̥" w:eastAsia="黑体"/>
          <w:sz w:val="32"/>
          <w:szCs w:val="32"/>
        </w:rPr>
        <w:t>第四部分  名词解释</w:t>
      </w:r>
      <w:r>
        <w:rPr>
          <w:sz w:val="32"/>
          <w:szCs w:val="32"/>
        </w:rPr>
        <w:tab/>
      </w:r>
      <w:bookmarkStart w:id="1" w:name="_Toc15425_WPSOffice_Level1Page"/>
      <w:r>
        <w:rPr>
          <w:sz w:val="32"/>
          <w:szCs w:val="32"/>
        </w:rPr>
        <w:t>1</w:t>
      </w:r>
      <w:bookmarkEnd w:id="1"/>
      <w:r>
        <w:rPr>
          <w:sz w:val="32"/>
          <w:szCs w:val="32"/>
        </w:rPr>
        <w:fldChar w:fldCharType="end"/>
      </w:r>
      <w:bookmarkEnd w:id="0"/>
      <w:bookmarkStart w:id="2" w:name="_Toc10720_WPSOffice_Level1"/>
      <w:bookmarkStart w:id="3" w:name="_Toc22941_WPSOffice_Level1"/>
      <w:bookmarkStart w:id="4" w:name="_Toc1704_WPSOffice_Level1"/>
      <w:bookmarkStart w:id="5" w:name="_Toc32433_WPSOffice_Level1"/>
      <w:bookmarkStart w:id="6" w:name="_Toc10049_WPSOffice_Level1"/>
      <w:bookmarkStart w:id="7" w:name="_Toc23465_WPSOffice_Level1"/>
      <w:bookmarkStart w:id="8" w:name="_Toc24238_WPSOffice_Level2"/>
      <w:bookmarkStart w:id="9" w:name="_Toc14159_WPSOffice_Level2"/>
      <w:bookmarkStart w:id="10" w:name="_Toc20274_WPSOffice_Level2"/>
      <w:bookmarkStart w:id="11" w:name="_Toc26580_WPSOffice_Level2"/>
      <w:bookmarkStart w:id="12" w:name="_Toc20205_WPSOffice_Level2"/>
      <w:bookmarkStart w:id="13" w:name="_Toc32622_WPSOffice_Level2"/>
      <w:r>
        <w:rPr>
          <w:rFonts w:hint="eastAsia"/>
          <w:sz w:val="32"/>
          <w:szCs w:val="32"/>
          <w:lang w:val="en-US" w:eastAsia="zh-CN"/>
        </w:rPr>
        <w:t>7</w:t>
      </w:r>
      <w:bookmarkStart w:id="119" w:name="_GoBack"/>
      <w:bookmarkEnd w:id="119"/>
    </w:p>
    <w:p w14:paraId="13495E08">
      <w:pPr>
        <w:spacing w:line="578" w:lineRule="exact"/>
        <w:jc w:val="center"/>
        <w:rPr>
          <w:rFonts w:hint="eastAsia" w:ascii="黑体" w:hAnsi="ˎ̥" w:eastAsia="黑体"/>
          <w:sz w:val="32"/>
          <w:szCs w:val="32"/>
        </w:rPr>
      </w:pPr>
      <w:r>
        <w:rPr>
          <w:rFonts w:hint="eastAsia" w:ascii="黑体" w:hAnsi="ˎ̥" w:eastAsia="黑体"/>
          <w:sz w:val="32"/>
          <w:szCs w:val="32"/>
        </w:rPr>
        <w:t xml:space="preserve">第一部分  </w:t>
      </w:r>
      <w:bookmarkEnd w:id="2"/>
      <w:bookmarkEnd w:id="3"/>
      <w:bookmarkEnd w:id="4"/>
      <w:bookmarkEnd w:id="5"/>
      <w:bookmarkEnd w:id="6"/>
      <w:bookmarkEnd w:id="7"/>
      <w:r>
        <w:rPr>
          <w:rFonts w:hint="eastAsia" w:ascii="黑体" w:hAnsi="ˎ̥" w:eastAsia="黑体"/>
          <w:sz w:val="32"/>
          <w:szCs w:val="32"/>
        </w:rPr>
        <w:t>基本情况</w:t>
      </w:r>
    </w:p>
    <w:p w14:paraId="59DE4DDD">
      <w:pPr>
        <w:spacing w:line="578" w:lineRule="exact"/>
        <w:ind w:firstLine="640" w:firstLineChars="200"/>
        <w:rPr>
          <w:rFonts w:hint="eastAsia" w:ascii="楷体" w:hAnsi="楷体" w:eastAsia="楷体" w:cs="楷体"/>
          <w:sz w:val="32"/>
          <w:szCs w:val="32"/>
        </w:rPr>
      </w:pPr>
    </w:p>
    <w:p w14:paraId="4A3D8885">
      <w:pPr>
        <w:numPr>
          <w:ilvl w:val="0"/>
          <w:numId w:val="1"/>
        </w:numPr>
        <w:spacing w:line="578"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部门</w:t>
      </w:r>
      <w:bookmarkEnd w:id="8"/>
      <w:r>
        <w:rPr>
          <w:rFonts w:hint="eastAsia" w:ascii="黑体" w:hAnsi="黑体" w:eastAsia="黑体" w:cs="黑体"/>
          <w:sz w:val="32"/>
          <w:szCs w:val="32"/>
        </w:rPr>
        <w:t>（单位）职责</w:t>
      </w:r>
      <w:bookmarkEnd w:id="9"/>
      <w:bookmarkEnd w:id="10"/>
      <w:bookmarkEnd w:id="11"/>
      <w:bookmarkEnd w:id="12"/>
      <w:bookmarkEnd w:id="13"/>
    </w:p>
    <w:p w14:paraId="3AA41722">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贯彻执行党和国家及省、市有关公安工作的方针、政策、法律、法规和规章；</w:t>
      </w:r>
    </w:p>
    <w:p w14:paraId="59057F06">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依法拟定本区公安工作的政策、法规和规章及中长期发展规划、年度计划并组织实施；</w:t>
      </w:r>
    </w:p>
    <w:p w14:paraId="249A3A0A">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综合管理全区社会治安工作，组织指挥全区性社会治安专项斗争和专项治理；</w:t>
      </w:r>
    </w:p>
    <w:p w14:paraId="3E4727E3">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协调处置辖区内重大骚乱、重大治安事故和突发事件；</w:t>
      </w:r>
    </w:p>
    <w:p w14:paraId="4C91D7F5">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负责全区治安行政管理，依法查处危害社会治安秩序行为；</w:t>
      </w:r>
    </w:p>
    <w:p w14:paraId="12DD8E63">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rPr>
        <w:t>负责监督管理辖区内各种集会、游行、示威活动；</w:t>
      </w:r>
    </w:p>
    <w:p w14:paraId="624DFCFE">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七）</w:t>
      </w:r>
      <w:r>
        <w:rPr>
          <w:rFonts w:hint="eastAsia" w:ascii="仿宋_GB2312" w:hAnsi="仿宋_GB2312" w:eastAsia="仿宋_GB2312" w:cs="仿宋_GB2312"/>
          <w:color w:val="auto"/>
          <w:sz w:val="32"/>
          <w:szCs w:val="32"/>
        </w:rPr>
        <w:t>负责辖区危害社会治安秩序的刑事案件的侦查、预审和移送起诉工作；</w:t>
      </w:r>
    </w:p>
    <w:p w14:paraId="6FE8650A">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八）</w:t>
      </w:r>
      <w:r>
        <w:rPr>
          <w:rFonts w:hint="eastAsia" w:ascii="仿宋_GB2312" w:hAnsi="仿宋_GB2312" w:eastAsia="仿宋_GB2312" w:cs="仿宋_GB2312"/>
          <w:color w:val="auto"/>
          <w:sz w:val="32"/>
          <w:szCs w:val="32"/>
        </w:rPr>
        <w:t>负责指导检查辖区各级党政机关、企事业单位及其他重点保卫单位的治安保卫工作；</w:t>
      </w:r>
    </w:p>
    <w:p w14:paraId="7DD65FBC">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负责制定分局公安队伍监督管理工作规章制度以及组织落实分局人员培训、公安教育、公安宣传和警务督察工作；</w:t>
      </w:r>
    </w:p>
    <w:p w14:paraId="1A404087">
      <w:pPr>
        <w:keepNext w:val="0"/>
        <w:keepLines w:val="0"/>
        <w:pageBreakBefore w:val="0"/>
        <w:widowControl/>
        <w:numPr>
          <w:ilvl w:val="0"/>
          <w:numId w:val="0"/>
        </w:numPr>
        <w:kinsoku/>
        <w:wordWrap/>
        <w:overflowPunct/>
        <w:topLinePunct w:val="0"/>
        <w:bidi w:val="0"/>
        <w:adjustRightInd w:val="0"/>
        <w:snapToGrid w:val="0"/>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十）</w:t>
      </w:r>
      <w:r>
        <w:rPr>
          <w:rFonts w:hint="eastAsia" w:ascii="仿宋_GB2312" w:hAnsi="仿宋_GB2312" w:eastAsia="仿宋_GB2312" w:cs="仿宋_GB2312"/>
          <w:color w:val="auto"/>
          <w:sz w:val="32"/>
          <w:szCs w:val="32"/>
        </w:rPr>
        <w:t>承办地方党委政府及上级部门交办的其他工作。</w:t>
      </w:r>
      <w:bookmarkStart w:id="14" w:name="_Toc6572_WPSOffice_Level2"/>
      <w:bookmarkStart w:id="15" w:name="_Toc24059_WPSOffice_Level2"/>
      <w:bookmarkStart w:id="16" w:name="_Toc24474_WPSOffice_Level2"/>
      <w:bookmarkStart w:id="17" w:name="_Toc17796_WPSOffice_Level2"/>
      <w:bookmarkStart w:id="18" w:name="_Toc4833_WPSOffice_Level2"/>
    </w:p>
    <w:p w14:paraId="59DA5CCE">
      <w:pPr>
        <w:spacing w:line="578"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二、机构设置</w:t>
      </w:r>
      <w:bookmarkEnd w:id="14"/>
      <w:bookmarkEnd w:id="15"/>
      <w:bookmarkEnd w:id="16"/>
      <w:bookmarkEnd w:id="17"/>
      <w:bookmarkEnd w:id="18"/>
      <w:bookmarkStart w:id="19" w:name="_Toc8164_WPSOffice_Level1"/>
      <w:bookmarkStart w:id="20" w:name="_Toc15521_WPSOffice_Level1"/>
      <w:bookmarkStart w:id="21" w:name="_Toc28253_WPSOffice_Level1"/>
      <w:bookmarkStart w:id="22" w:name="_Toc30690_WPSOffice_Level1"/>
      <w:bookmarkStart w:id="23" w:name="_Toc30451_WPSOffice_Level1"/>
      <w:bookmarkStart w:id="24" w:name="_Toc6234_WPSOffice_Level1"/>
      <w:bookmarkStart w:id="25" w:name="_Toc11518_WPSOffice_Level2"/>
      <w:bookmarkStart w:id="26" w:name="_Toc4029_WPSOffice_Level2"/>
      <w:bookmarkStart w:id="27" w:name="_Toc32472_WPSOffice_Level2"/>
      <w:bookmarkStart w:id="28" w:name="_Toc32695_WPSOffice_Level2"/>
      <w:bookmarkStart w:id="29" w:name="_Toc8867_WPSOffice_Level2"/>
      <w:bookmarkStart w:id="30" w:name="_Toc6211_WPSOffice_Level2"/>
    </w:p>
    <w:p w14:paraId="149848AF">
      <w:pPr>
        <w:spacing w:line="578" w:lineRule="exact"/>
        <w:ind w:firstLine="640" w:firstLineChars="200"/>
        <w:jc w:val="both"/>
        <w:rPr>
          <w:rFonts w:hint="eastAsia" w:ascii="黑体" w:hAnsi="ˎ̥" w:eastAsia="黑体"/>
          <w:sz w:val="32"/>
          <w:szCs w:val="32"/>
        </w:rPr>
      </w:pPr>
      <w:r>
        <w:rPr>
          <w:rFonts w:hint="eastAsia" w:ascii="仿宋_GB2312" w:hAnsi="仿宋_GB2312" w:eastAsia="仿宋_GB2312" w:cs="仿宋_GB2312"/>
          <w:kern w:val="0"/>
          <w:sz w:val="32"/>
          <w:szCs w:val="28"/>
          <w:lang w:val="en-US" w:eastAsia="zh-CN"/>
        </w:rPr>
        <w:t>2025年公安警务机构改革，我分局为正科级单位，</w:t>
      </w:r>
      <w:r>
        <w:rPr>
          <w:rFonts w:hint="eastAsia" w:ascii="仿宋_GB2312" w:hAnsi="仿宋_GB2312" w:eastAsia="仿宋_GB2312" w:cs="仿宋_GB2312"/>
          <w:kern w:val="0"/>
          <w:sz w:val="32"/>
          <w:szCs w:val="28"/>
        </w:rPr>
        <w:t>现设置</w:t>
      </w:r>
      <w:r>
        <w:rPr>
          <w:rFonts w:hint="eastAsia" w:ascii="仿宋_GB2312" w:hAnsi="仿宋_GB2312" w:eastAsia="仿宋_GB2312" w:cs="仿宋_GB2312"/>
          <w:kern w:val="0"/>
          <w:sz w:val="32"/>
          <w:szCs w:val="28"/>
          <w:lang w:val="en-US" w:eastAsia="zh-CN"/>
        </w:rPr>
        <w:t>17</w:t>
      </w:r>
      <w:r>
        <w:rPr>
          <w:rFonts w:hint="eastAsia" w:ascii="仿宋_GB2312" w:hAnsi="仿宋_GB2312" w:eastAsia="仿宋_GB2312" w:cs="仿宋_GB2312"/>
          <w:kern w:val="0"/>
          <w:sz w:val="32"/>
          <w:szCs w:val="28"/>
        </w:rPr>
        <w:t>个内设机构，其中</w:t>
      </w:r>
      <w:r>
        <w:rPr>
          <w:rFonts w:hint="eastAsia" w:ascii="仿宋_GB2312" w:hAnsi="仿宋_GB2312" w:eastAsia="仿宋_GB2312" w:cs="仿宋_GB2312"/>
          <w:kern w:val="0"/>
          <w:sz w:val="32"/>
          <w:szCs w:val="28"/>
          <w:lang w:val="en-US" w:eastAsia="zh-CN"/>
        </w:rPr>
        <w:t>2</w:t>
      </w:r>
      <w:r>
        <w:rPr>
          <w:rFonts w:hint="eastAsia" w:ascii="仿宋_GB2312" w:hAnsi="仿宋_GB2312" w:eastAsia="仿宋_GB2312" w:cs="仿宋_GB2312"/>
          <w:kern w:val="0"/>
          <w:sz w:val="32"/>
          <w:szCs w:val="28"/>
        </w:rPr>
        <w:t>个</w:t>
      </w:r>
      <w:r>
        <w:rPr>
          <w:rFonts w:hint="eastAsia" w:ascii="仿宋_GB2312" w:hAnsi="仿宋_GB2312" w:eastAsia="仿宋_GB2312" w:cs="仿宋_GB2312"/>
          <w:kern w:val="0"/>
          <w:sz w:val="32"/>
          <w:szCs w:val="28"/>
          <w:lang w:eastAsia="zh-CN"/>
        </w:rPr>
        <w:t>副</w:t>
      </w:r>
      <w:r>
        <w:rPr>
          <w:rFonts w:hint="eastAsia" w:ascii="仿宋_GB2312" w:hAnsi="仿宋_GB2312" w:eastAsia="仿宋_GB2312" w:cs="仿宋_GB2312"/>
          <w:kern w:val="0"/>
          <w:sz w:val="32"/>
          <w:szCs w:val="28"/>
        </w:rPr>
        <w:t>科级科室、</w:t>
      </w:r>
      <w:r>
        <w:rPr>
          <w:rFonts w:hint="eastAsia" w:ascii="仿宋_GB2312" w:hAnsi="仿宋_GB2312" w:eastAsia="仿宋_GB2312" w:cs="仿宋_GB2312"/>
          <w:kern w:val="0"/>
          <w:sz w:val="32"/>
          <w:szCs w:val="28"/>
          <w:lang w:val="en-US" w:eastAsia="zh-CN"/>
        </w:rPr>
        <w:t>5</w:t>
      </w:r>
      <w:r>
        <w:rPr>
          <w:rFonts w:hint="eastAsia" w:ascii="仿宋_GB2312" w:hAnsi="仿宋_GB2312" w:eastAsia="仿宋_GB2312" w:cs="仿宋_GB2312"/>
          <w:kern w:val="0"/>
          <w:sz w:val="32"/>
          <w:szCs w:val="28"/>
        </w:rPr>
        <w:t>个</w:t>
      </w:r>
      <w:r>
        <w:rPr>
          <w:rFonts w:hint="eastAsia" w:ascii="仿宋_GB2312" w:hAnsi="仿宋_GB2312" w:eastAsia="仿宋_GB2312" w:cs="仿宋_GB2312"/>
          <w:kern w:val="0"/>
          <w:sz w:val="32"/>
          <w:szCs w:val="28"/>
          <w:lang w:eastAsia="zh-CN"/>
        </w:rPr>
        <w:t>副</w:t>
      </w:r>
      <w:r>
        <w:rPr>
          <w:rFonts w:hint="eastAsia" w:ascii="仿宋_GB2312" w:hAnsi="仿宋_GB2312" w:eastAsia="仿宋_GB2312" w:cs="仿宋_GB2312"/>
          <w:kern w:val="0"/>
          <w:sz w:val="32"/>
          <w:szCs w:val="28"/>
        </w:rPr>
        <w:t>科级大队</w:t>
      </w:r>
      <w:r>
        <w:rPr>
          <w:rFonts w:hint="eastAsia" w:ascii="仿宋_GB2312" w:hAnsi="仿宋_GB2312" w:eastAsia="仿宋_GB2312" w:cs="仿宋_GB2312"/>
          <w:kern w:val="0"/>
          <w:sz w:val="32"/>
          <w:szCs w:val="28"/>
          <w:lang w:eastAsia="zh-CN"/>
        </w:rPr>
        <w:t>、</w:t>
      </w:r>
      <w:r>
        <w:rPr>
          <w:rFonts w:hint="eastAsia" w:ascii="仿宋_GB2312" w:hAnsi="仿宋_GB2312" w:eastAsia="仿宋_GB2312" w:cs="仿宋_GB2312"/>
          <w:kern w:val="0"/>
          <w:sz w:val="32"/>
          <w:szCs w:val="28"/>
          <w:lang w:val="en-US" w:eastAsia="zh-CN"/>
        </w:rPr>
        <w:t>1个不定级单位（警务保障室）、7个正科级派出所</w:t>
      </w:r>
      <w:r>
        <w:rPr>
          <w:rFonts w:hint="eastAsia" w:ascii="仿宋_GB2312" w:hAnsi="仿宋_GB2312" w:eastAsia="仿宋_GB2312" w:cs="仿宋_GB2312"/>
          <w:kern w:val="0"/>
          <w:sz w:val="32"/>
          <w:szCs w:val="28"/>
        </w:rPr>
        <w:t>。</w:t>
      </w:r>
    </w:p>
    <w:p w14:paraId="5ABA64D5">
      <w:pPr>
        <w:spacing w:line="578" w:lineRule="exact"/>
        <w:jc w:val="center"/>
        <w:rPr>
          <w:rFonts w:hint="eastAsia" w:ascii="黑体" w:hAnsi="ˎ̥" w:eastAsia="黑体"/>
          <w:sz w:val="32"/>
          <w:szCs w:val="32"/>
        </w:rPr>
      </w:pPr>
      <w:r>
        <w:rPr>
          <w:rFonts w:hint="eastAsia" w:ascii="黑体" w:hAnsi="ˎ̥" w:eastAsia="黑体"/>
          <w:sz w:val="32"/>
          <w:szCs w:val="32"/>
        </w:rPr>
        <w:t xml:space="preserve">第二部分  </w:t>
      </w:r>
      <w:r>
        <w:rPr>
          <w:rFonts w:hint="default" w:ascii="黑体" w:hAnsi="ˎ̥" w:eastAsia="黑体"/>
          <w:sz w:val="32"/>
          <w:szCs w:val="32"/>
          <w:lang w:val="en-US"/>
        </w:rPr>
        <w:t>2025</w:t>
      </w:r>
      <w:r>
        <w:rPr>
          <w:rFonts w:hint="eastAsia" w:ascii="黑体" w:hAnsi="ˎ̥" w:eastAsia="黑体"/>
          <w:sz w:val="32"/>
          <w:szCs w:val="32"/>
        </w:rPr>
        <w:t>年度部门决算公开报表</w:t>
      </w:r>
      <w:bookmarkEnd w:id="19"/>
      <w:bookmarkEnd w:id="20"/>
      <w:bookmarkEnd w:id="21"/>
      <w:bookmarkEnd w:id="22"/>
      <w:bookmarkEnd w:id="23"/>
      <w:bookmarkEnd w:id="24"/>
    </w:p>
    <w:p w14:paraId="1A7D1292">
      <w:pPr>
        <w:spacing w:line="578" w:lineRule="exact"/>
        <w:ind w:firstLine="645"/>
        <w:rPr>
          <w:rFonts w:hint="eastAsia" w:ascii="黑体" w:hAnsi="黑体" w:eastAsia="黑体" w:cs="黑体"/>
          <w:sz w:val="32"/>
          <w:szCs w:val="32"/>
        </w:rPr>
      </w:pPr>
    </w:p>
    <w:p w14:paraId="4609FEC3">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一、收入支出决算公开表</w:t>
      </w:r>
      <w:bookmarkEnd w:id="25"/>
      <w:bookmarkEnd w:id="26"/>
      <w:bookmarkEnd w:id="27"/>
      <w:bookmarkEnd w:id="28"/>
      <w:bookmarkEnd w:id="29"/>
      <w:bookmarkEnd w:id="30"/>
    </w:p>
    <w:p w14:paraId="646AEC68">
      <w:pPr>
        <w:spacing w:line="578" w:lineRule="exact"/>
        <w:ind w:firstLine="645"/>
        <w:rPr>
          <w:rFonts w:hint="eastAsia" w:ascii="黑体" w:hAnsi="黑体" w:eastAsia="黑体" w:cs="黑体"/>
          <w:sz w:val="32"/>
          <w:szCs w:val="32"/>
        </w:rPr>
      </w:pPr>
      <w:bookmarkStart w:id="31" w:name="_Toc23139_WPSOffice_Level2"/>
      <w:bookmarkStart w:id="32" w:name="_Toc28622_WPSOffice_Level2"/>
      <w:bookmarkStart w:id="33" w:name="_Toc30334_WPSOffice_Level2"/>
      <w:bookmarkStart w:id="34" w:name="_Toc26621_WPSOffice_Level2"/>
      <w:bookmarkStart w:id="35" w:name="_Toc25608_WPSOffice_Level2"/>
      <w:bookmarkStart w:id="36" w:name="_Toc14349_WPSOffice_Level2"/>
      <w:r>
        <w:rPr>
          <w:rFonts w:hint="eastAsia" w:ascii="黑体" w:hAnsi="黑体" w:eastAsia="黑体" w:cs="黑体"/>
          <w:sz w:val="32"/>
          <w:szCs w:val="32"/>
        </w:rPr>
        <w:t>二、收入决算公开表</w:t>
      </w:r>
      <w:bookmarkEnd w:id="31"/>
      <w:bookmarkEnd w:id="32"/>
      <w:bookmarkEnd w:id="33"/>
      <w:bookmarkEnd w:id="34"/>
      <w:bookmarkEnd w:id="35"/>
      <w:bookmarkEnd w:id="36"/>
      <w:bookmarkStart w:id="37" w:name="_Toc17858_WPSOffice_Level2"/>
      <w:bookmarkStart w:id="38" w:name="_Toc3262_WPSOffice_Level2"/>
      <w:bookmarkStart w:id="39" w:name="_Toc14658_WPSOffice_Level2"/>
      <w:bookmarkStart w:id="40" w:name="_Toc13854_WPSOffice_Level2"/>
      <w:bookmarkStart w:id="41" w:name="_Toc5489_WPSOffice_Level2"/>
      <w:bookmarkStart w:id="42" w:name="_Toc17626_WPSOffice_Level2"/>
    </w:p>
    <w:p w14:paraId="2D43FEAF">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三、支出决算公开表</w:t>
      </w:r>
      <w:bookmarkEnd w:id="37"/>
      <w:bookmarkEnd w:id="38"/>
      <w:bookmarkEnd w:id="39"/>
      <w:bookmarkEnd w:id="40"/>
      <w:bookmarkEnd w:id="41"/>
      <w:bookmarkEnd w:id="42"/>
      <w:bookmarkStart w:id="43" w:name="_Toc4265_WPSOffice_Level2"/>
      <w:bookmarkStart w:id="44" w:name="_Toc23493_WPSOffice_Level2"/>
      <w:bookmarkStart w:id="45" w:name="_Toc13701_WPSOffice_Level2"/>
      <w:bookmarkStart w:id="46" w:name="_Toc21415_WPSOffice_Level2"/>
      <w:bookmarkStart w:id="47" w:name="_Toc7988_WPSOffice_Level2"/>
      <w:bookmarkStart w:id="48" w:name="_Toc23591_WPSOffice_Level2"/>
    </w:p>
    <w:p w14:paraId="466CE0B2">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四、财政拨款收入支出决算公开表</w:t>
      </w:r>
      <w:bookmarkEnd w:id="43"/>
      <w:bookmarkEnd w:id="44"/>
      <w:bookmarkEnd w:id="45"/>
      <w:bookmarkEnd w:id="46"/>
      <w:bookmarkEnd w:id="47"/>
      <w:bookmarkEnd w:id="48"/>
    </w:p>
    <w:p w14:paraId="1CA1AAB7">
      <w:pPr>
        <w:spacing w:line="578" w:lineRule="exact"/>
        <w:ind w:firstLine="645"/>
        <w:rPr>
          <w:rFonts w:hint="eastAsia" w:ascii="黑体" w:hAnsi="黑体" w:eastAsia="黑体" w:cs="黑体"/>
          <w:sz w:val="32"/>
          <w:szCs w:val="32"/>
        </w:rPr>
      </w:pPr>
      <w:bookmarkStart w:id="49" w:name="_Toc25166_WPSOffice_Level2"/>
      <w:bookmarkStart w:id="50" w:name="_Toc23829_WPSOffice_Level2"/>
      <w:bookmarkStart w:id="51" w:name="_Toc22783_WPSOffice_Level2"/>
      <w:bookmarkStart w:id="52" w:name="_Toc7879_WPSOffice_Level2"/>
      <w:bookmarkStart w:id="53" w:name="_Toc2158_WPSOffice_Level2"/>
      <w:bookmarkStart w:id="54" w:name="_Toc13516_WPSOffice_Level2"/>
      <w:r>
        <w:rPr>
          <w:rFonts w:hint="eastAsia" w:ascii="黑体" w:hAnsi="黑体" w:eastAsia="黑体" w:cs="黑体"/>
          <w:sz w:val="32"/>
          <w:szCs w:val="32"/>
        </w:rPr>
        <w:t>五、一般公共预算财政拨款收入支出决算</w:t>
      </w:r>
      <w:bookmarkEnd w:id="49"/>
      <w:bookmarkEnd w:id="50"/>
      <w:bookmarkEnd w:id="51"/>
      <w:bookmarkEnd w:id="52"/>
      <w:r>
        <w:rPr>
          <w:rFonts w:hint="eastAsia" w:ascii="黑体" w:hAnsi="黑体" w:eastAsia="黑体" w:cs="黑体"/>
          <w:sz w:val="32"/>
          <w:szCs w:val="32"/>
        </w:rPr>
        <w:t>公开表</w:t>
      </w:r>
      <w:bookmarkEnd w:id="53"/>
      <w:bookmarkEnd w:id="54"/>
      <w:bookmarkStart w:id="55" w:name="_Toc8373_WPSOffice_Level2"/>
      <w:bookmarkStart w:id="56" w:name="_Toc5343_WPSOffice_Level2"/>
      <w:bookmarkStart w:id="57" w:name="_Toc25362_WPSOffice_Level2"/>
      <w:bookmarkStart w:id="58" w:name="_Toc2632_WPSOffice_Level2"/>
      <w:bookmarkStart w:id="59" w:name="_Toc17833_WPSOffice_Level2"/>
      <w:bookmarkStart w:id="60" w:name="_Toc17283_WPSOffice_Level2"/>
    </w:p>
    <w:p w14:paraId="163493D2">
      <w:pPr>
        <w:spacing w:line="578" w:lineRule="exact"/>
        <w:ind w:firstLine="645"/>
        <w:rPr>
          <w:rFonts w:hint="eastAsia" w:ascii="黑体" w:hAnsi="黑体" w:eastAsia="黑体" w:cs="黑体"/>
          <w:sz w:val="32"/>
          <w:szCs w:val="32"/>
        </w:rPr>
      </w:pPr>
      <w:r>
        <w:rPr>
          <w:rFonts w:hint="eastAsia" w:ascii="黑体" w:hAnsi="黑体" w:eastAsia="黑体" w:cs="黑体"/>
          <w:sz w:val="32"/>
          <w:szCs w:val="32"/>
        </w:rPr>
        <w:t>六、一般公共预算财政拨款基本支出决算</w:t>
      </w:r>
      <w:bookmarkEnd w:id="55"/>
      <w:bookmarkEnd w:id="56"/>
      <w:bookmarkEnd w:id="57"/>
      <w:bookmarkEnd w:id="58"/>
      <w:bookmarkEnd w:id="59"/>
      <w:bookmarkEnd w:id="60"/>
      <w:r>
        <w:rPr>
          <w:rFonts w:hint="eastAsia" w:ascii="黑体" w:hAnsi="黑体" w:eastAsia="黑体" w:cs="黑体"/>
          <w:sz w:val="32"/>
          <w:szCs w:val="32"/>
        </w:rPr>
        <w:t>公开表</w:t>
      </w:r>
    </w:p>
    <w:p w14:paraId="11250B0D">
      <w:pPr>
        <w:spacing w:line="578" w:lineRule="exact"/>
        <w:ind w:left="1118" w:leftChars="304" w:hanging="480" w:hangingChars="150"/>
        <w:rPr>
          <w:rFonts w:hint="eastAsia" w:ascii="黑体" w:hAnsi="黑体" w:eastAsia="黑体" w:cs="黑体"/>
          <w:sz w:val="32"/>
          <w:szCs w:val="32"/>
        </w:rPr>
      </w:pPr>
      <w:bookmarkStart w:id="61" w:name="_Toc13345_WPSOffice_Level2"/>
      <w:bookmarkStart w:id="62" w:name="_Toc21310_WPSOffice_Level2"/>
      <w:bookmarkStart w:id="63" w:name="_Toc5594_WPSOffice_Level2"/>
      <w:bookmarkStart w:id="64" w:name="_Toc6020_WPSOffice_Level2"/>
      <w:bookmarkStart w:id="65" w:name="_Toc11799_WPSOffice_Level2"/>
      <w:bookmarkStart w:id="66" w:name="_Toc1533_WPSOffice_Level2"/>
      <w:r>
        <w:rPr>
          <w:rFonts w:hint="eastAsia" w:ascii="黑体" w:hAnsi="黑体" w:eastAsia="黑体" w:cs="黑体"/>
          <w:sz w:val="32"/>
          <w:szCs w:val="32"/>
        </w:rPr>
        <w:t>七、政府性基金预算财政拨款收入支出决算</w:t>
      </w:r>
      <w:bookmarkEnd w:id="61"/>
      <w:bookmarkEnd w:id="62"/>
      <w:bookmarkEnd w:id="63"/>
      <w:bookmarkEnd w:id="64"/>
      <w:bookmarkEnd w:id="65"/>
      <w:bookmarkEnd w:id="66"/>
      <w:r>
        <w:rPr>
          <w:rFonts w:hint="eastAsia" w:ascii="黑体" w:hAnsi="黑体" w:eastAsia="黑体" w:cs="黑体"/>
          <w:sz w:val="32"/>
          <w:szCs w:val="32"/>
        </w:rPr>
        <w:t>公开表</w:t>
      </w:r>
    </w:p>
    <w:p w14:paraId="33B6C1DC">
      <w:pPr>
        <w:spacing w:line="578" w:lineRule="exact"/>
        <w:ind w:left="1118" w:leftChars="304" w:hanging="480" w:hangingChars="150"/>
        <w:rPr>
          <w:rFonts w:hint="eastAsia" w:ascii="黑体" w:hAnsi="黑体" w:eastAsia="黑体" w:cs="黑体"/>
          <w:sz w:val="32"/>
          <w:szCs w:val="32"/>
        </w:rPr>
      </w:pPr>
      <w:r>
        <w:rPr>
          <w:rFonts w:hint="eastAsia" w:ascii="黑体" w:hAnsi="黑体" w:eastAsia="黑体" w:cs="黑体"/>
          <w:sz w:val="32"/>
          <w:szCs w:val="32"/>
        </w:rPr>
        <w:t>八、国有资本经营预算财政拨款收入支出决算公开表</w:t>
      </w:r>
    </w:p>
    <w:p w14:paraId="6225979D">
      <w:pPr>
        <w:spacing w:line="578" w:lineRule="exact"/>
        <w:ind w:firstLine="640"/>
        <w:rPr>
          <w:rFonts w:hint="eastAsia" w:ascii="黑体" w:hAnsi="黑体" w:eastAsia="黑体" w:cs="黑体"/>
          <w:sz w:val="32"/>
          <w:szCs w:val="32"/>
        </w:rPr>
      </w:pPr>
      <w:bookmarkStart w:id="67" w:name="_Toc29886_WPSOffice_Level2"/>
      <w:bookmarkStart w:id="68" w:name="_Toc19961_WPSOffice_Level2"/>
      <w:bookmarkStart w:id="69" w:name="_Toc9377_WPSOffice_Level2"/>
      <w:bookmarkStart w:id="70" w:name="_Toc1820_WPSOffice_Level2"/>
      <w:r>
        <w:rPr>
          <w:rFonts w:hint="eastAsia" w:ascii="黑体" w:hAnsi="黑体" w:eastAsia="黑体" w:cs="黑体"/>
          <w:sz w:val="32"/>
          <w:szCs w:val="32"/>
        </w:rPr>
        <w:t>九、财政拨款“三公”经费支出决算</w:t>
      </w:r>
      <w:bookmarkEnd w:id="67"/>
      <w:bookmarkEnd w:id="68"/>
      <w:bookmarkEnd w:id="69"/>
      <w:bookmarkEnd w:id="70"/>
      <w:r>
        <w:rPr>
          <w:rFonts w:hint="eastAsia" w:ascii="黑体" w:hAnsi="黑体" w:eastAsia="黑体" w:cs="黑体"/>
          <w:sz w:val="32"/>
          <w:szCs w:val="32"/>
        </w:rPr>
        <w:t>公开表</w:t>
      </w:r>
    </w:p>
    <w:p w14:paraId="752E8721">
      <w:pPr>
        <w:spacing w:line="578" w:lineRule="exact"/>
        <w:ind w:firstLine="640"/>
        <w:rPr>
          <w:rFonts w:hint="eastAsia" w:ascii="仿宋" w:hAnsi="仿宋" w:eastAsia="仿宋" w:cs="仿宋"/>
          <w:w w:val="100"/>
          <w:sz w:val="32"/>
          <w:szCs w:val="32"/>
        </w:rPr>
      </w:pPr>
      <w:r>
        <w:rPr>
          <w:rFonts w:hint="eastAsia" w:ascii="仿宋" w:hAnsi="仿宋" w:eastAsia="仿宋" w:cs="仿宋"/>
          <w:w w:val="100"/>
          <w:sz w:val="32"/>
          <w:szCs w:val="32"/>
        </w:rPr>
        <w:t xml:space="preserve">以上报表见附件1。   </w:t>
      </w:r>
    </w:p>
    <w:p w14:paraId="5B482E07">
      <w:pPr>
        <w:spacing w:line="578" w:lineRule="exact"/>
        <w:rPr>
          <w:rFonts w:hint="eastAsia" w:ascii="黑体" w:hAnsi="黑体" w:eastAsia="黑体" w:cs="黑体"/>
          <w:sz w:val="32"/>
          <w:szCs w:val="32"/>
        </w:rPr>
      </w:pPr>
    </w:p>
    <w:p w14:paraId="31BF6332">
      <w:pPr>
        <w:spacing w:line="578" w:lineRule="exact"/>
        <w:jc w:val="center"/>
        <w:rPr>
          <w:rFonts w:hint="eastAsia" w:ascii="黑体" w:hAnsi="ˎ̥" w:eastAsia="黑体"/>
          <w:sz w:val="32"/>
          <w:szCs w:val="32"/>
        </w:rPr>
      </w:pPr>
      <w:bookmarkStart w:id="71" w:name="_Toc29683_WPSOffice_Level1"/>
      <w:bookmarkStart w:id="72" w:name="_Toc16686_WPSOffice_Level1"/>
      <w:bookmarkStart w:id="73" w:name="_Toc27590_WPSOffice_Level1"/>
      <w:bookmarkStart w:id="74" w:name="_Toc28629_WPSOffice_Level1"/>
      <w:bookmarkStart w:id="75" w:name="_Toc4402_WPSOffice_Level1"/>
      <w:bookmarkStart w:id="76" w:name="_Toc31264_WPSOffice_Level1"/>
      <w:r>
        <w:rPr>
          <w:rFonts w:hint="eastAsia" w:ascii="黑体" w:hAnsi="ˎ̥" w:eastAsia="黑体"/>
          <w:sz w:val="32"/>
          <w:szCs w:val="32"/>
        </w:rPr>
        <w:t xml:space="preserve">第三部分  </w:t>
      </w:r>
      <w:r>
        <w:rPr>
          <w:rFonts w:hint="default" w:ascii="黑体" w:hAnsi="ˎ̥" w:eastAsia="黑体"/>
          <w:sz w:val="32"/>
          <w:szCs w:val="32"/>
          <w:lang w:val="en-US"/>
        </w:rPr>
        <w:t>2025</w:t>
      </w:r>
      <w:r>
        <w:rPr>
          <w:rFonts w:hint="eastAsia" w:ascii="黑体" w:hAnsi="ˎ̥" w:eastAsia="黑体"/>
          <w:sz w:val="32"/>
          <w:szCs w:val="32"/>
        </w:rPr>
        <w:t>年度部门决算情况说明</w:t>
      </w:r>
      <w:bookmarkEnd w:id="71"/>
      <w:bookmarkEnd w:id="72"/>
      <w:bookmarkEnd w:id="73"/>
      <w:bookmarkEnd w:id="74"/>
      <w:bookmarkEnd w:id="75"/>
      <w:bookmarkEnd w:id="76"/>
    </w:p>
    <w:p w14:paraId="0108672B">
      <w:pPr>
        <w:spacing w:line="578" w:lineRule="exact"/>
        <w:jc w:val="center"/>
        <w:rPr>
          <w:rFonts w:hint="eastAsia" w:ascii="黑体" w:hAnsi="ˎ̥" w:eastAsia="黑体"/>
          <w:sz w:val="32"/>
          <w:szCs w:val="32"/>
        </w:rPr>
      </w:pPr>
    </w:p>
    <w:p w14:paraId="594A6C42">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收入支出总体情况说明</w:t>
      </w:r>
    </w:p>
    <w:p w14:paraId="1051B5AA">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年度收入总计</w:t>
      </w:r>
      <w:r>
        <w:rPr>
          <w:rFonts w:hint="eastAsia" w:ascii="仿宋" w:hAnsi="仿宋" w:eastAsia="仿宋" w:cs="仿宋"/>
          <w:color w:val="auto"/>
          <w:sz w:val="32"/>
          <w:szCs w:val="32"/>
          <w:lang w:val="en-US"/>
        </w:rPr>
        <w:t>1</w:t>
      </w:r>
      <w:r>
        <w:rPr>
          <w:rFonts w:hint="eastAsia" w:ascii="仿宋" w:hAnsi="仿宋" w:eastAsia="仿宋" w:cs="仿宋"/>
          <w:color w:val="auto"/>
          <w:sz w:val="32"/>
          <w:szCs w:val="32"/>
          <w:lang w:val="en-US" w:eastAsia="zh-CN"/>
        </w:rPr>
        <w:t>3776.05</w:t>
      </w:r>
      <w:r>
        <w:rPr>
          <w:rFonts w:hint="eastAsia" w:ascii="仿宋" w:hAnsi="仿宋" w:eastAsia="仿宋" w:cs="仿宋"/>
          <w:color w:val="auto"/>
          <w:sz w:val="32"/>
          <w:szCs w:val="32"/>
        </w:rPr>
        <w:t>万元，支出总计</w:t>
      </w:r>
      <w:r>
        <w:rPr>
          <w:rFonts w:hint="eastAsia" w:ascii="仿宋" w:hAnsi="仿宋" w:eastAsia="仿宋" w:cs="仿宋"/>
          <w:color w:val="auto"/>
          <w:sz w:val="32"/>
          <w:szCs w:val="32"/>
          <w:lang w:val="en-US"/>
        </w:rPr>
        <w:t>1</w:t>
      </w:r>
      <w:r>
        <w:rPr>
          <w:rFonts w:hint="eastAsia" w:ascii="仿宋" w:hAnsi="仿宋" w:eastAsia="仿宋" w:cs="仿宋"/>
          <w:color w:val="auto"/>
          <w:sz w:val="32"/>
          <w:szCs w:val="32"/>
          <w:lang w:val="en-US" w:eastAsia="zh-CN"/>
        </w:rPr>
        <w:t>3581.27</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2024年</w:t>
      </w:r>
      <w:r>
        <w:rPr>
          <w:rFonts w:hint="eastAsia" w:ascii="仿宋" w:hAnsi="仿宋" w:eastAsia="仿宋" w:cs="仿宋"/>
          <w:sz w:val="32"/>
          <w:szCs w:val="32"/>
        </w:rPr>
        <w:t>收入</w:t>
      </w:r>
      <w:r>
        <w:rPr>
          <w:rFonts w:hint="eastAsia" w:ascii="仿宋" w:hAnsi="仿宋" w:eastAsia="仿宋" w:cs="仿宋"/>
          <w:sz w:val="32"/>
          <w:szCs w:val="32"/>
          <w:lang w:val="en-US" w:eastAsia="zh-CN"/>
        </w:rPr>
        <w:t>总计14417.84万元</w:t>
      </w:r>
      <w:r>
        <w:rPr>
          <w:rFonts w:hint="eastAsia" w:ascii="仿宋" w:hAnsi="仿宋" w:eastAsia="仿宋" w:cs="仿宋"/>
          <w:sz w:val="32"/>
          <w:szCs w:val="32"/>
        </w:rPr>
        <w:t>、支出总计</w:t>
      </w:r>
      <w:r>
        <w:rPr>
          <w:rFonts w:hint="eastAsia" w:ascii="仿宋" w:hAnsi="仿宋" w:eastAsia="仿宋" w:cs="仿宋"/>
          <w:sz w:val="32"/>
          <w:szCs w:val="32"/>
          <w:lang w:val="en-US" w:eastAsia="zh-CN"/>
        </w:rPr>
        <w:t>13832.81万元，与2024年相比，2025年收入减少641.79</w:t>
      </w:r>
      <w:r>
        <w:rPr>
          <w:rFonts w:hint="eastAsia" w:ascii="仿宋" w:hAnsi="仿宋" w:eastAsia="仿宋" w:cs="仿宋"/>
          <w:sz w:val="32"/>
          <w:szCs w:val="32"/>
        </w:rPr>
        <w:t>万元，</w:t>
      </w:r>
      <w:r>
        <w:rPr>
          <w:rFonts w:hint="eastAsia" w:ascii="仿宋" w:hAnsi="仿宋" w:eastAsia="仿宋" w:cs="仿宋"/>
          <w:sz w:val="32"/>
          <w:szCs w:val="32"/>
          <w:lang w:val="en-US" w:eastAsia="zh-CN"/>
        </w:rPr>
        <w:t>减少4.45%，支出减少251.54万元，减少1.82</w:t>
      </w:r>
      <w:r>
        <w:rPr>
          <w:rFonts w:hint="eastAsia" w:ascii="仿宋" w:hAnsi="仿宋" w:eastAsia="仿宋" w:cs="仿宋"/>
          <w:sz w:val="32"/>
          <w:szCs w:val="32"/>
        </w:rPr>
        <w:t>%。主要原因：一是</w:t>
      </w:r>
      <w:r>
        <w:rPr>
          <w:rFonts w:hint="eastAsia" w:ascii="仿宋" w:hAnsi="仿宋" w:eastAsia="仿宋" w:cs="仿宋"/>
          <w:sz w:val="32"/>
          <w:szCs w:val="32"/>
          <w:lang w:val="en-US" w:eastAsia="zh-CN"/>
        </w:rPr>
        <w:t>大力落实市财政局“过紧日子”的政策要求，压缩开支</w:t>
      </w:r>
      <w:r>
        <w:rPr>
          <w:rFonts w:hint="eastAsia" w:ascii="仿宋" w:hAnsi="仿宋" w:eastAsia="仿宋" w:cs="仿宋"/>
          <w:sz w:val="32"/>
          <w:szCs w:val="32"/>
        </w:rPr>
        <w:t>；二是</w:t>
      </w:r>
      <w:r>
        <w:rPr>
          <w:rFonts w:hint="eastAsia" w:ascii="仿宋" w:hAnsi="仿宋" w:eastAsia="仿宋" w:cs="仿宋"/>
          <w:sz w:val="32"/>
          <w:szCs w:val="32"/>
          <w:lang w:val="en-US" w:eastAsia="zh-CN"/>
        </w:rPr>
        <w:t>不断贯彻执行各项财经纪律及相关政策法规</w:t>
      </w:r>
      <w:r>
        <w:rPr>
          <w:rFonts w:hint="eastAsia" w:ascii="仿宋" w:hAnsi="仿宋" w:eastAsia="仿宋" w:cs="仿宋"/>
          <w:sz w:val="32"/>
          <w:szCs w:val="32"/>
        </w:rPr>
        <w:t>。</w:t>
      </w:r>
    </w:p>
    <w:p w14:paraId="05B8AFD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w:t>
      </w:r>
      <w:r>
        <w:rPr>
          <w:rFonts w:hint="eastAsia" w:ascii="楷体" w:hAnsi="楷体" w:eastAsia="楷体" w:cs="楷体"/>
          <w:sz w:val="32"/>
          <w:szCs w:val="32"/>
        </w:rPr>
        <w:t>收入</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14:paraId="596A4F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本年收入</w:t>
      </w:r>
      <w:r>
        <w:rPr>
          <w:rFonts w:hint="eastAsia" w:ascii="仿宋" w:hAnsi="仿宋" w:eastAsia="仿宋" w:cs="仿宋"/>
          <w:color w:val="auto"/>
          <w:sz w:val="32"/>
          <w:szCs w:val="32"/>
          <w:lang w:val="en-US"/>
        </w:rPr>
        <w:t>13776.05</w:t>
      </w:r>
      <w:r>
        <w:rPr>
          <w:rFonts w:hint="eastAsia" w:ascii="仿宋" w:hAnsi="仿宋" w:eastAsia="仿宋" w:cs="仿宋"/>
          <w:sz w:val="32"/>
          <w:szCs w:val="32"/>
        </w:rPr>
        <w:t>万元。</w:t>
      </w:r>
    </w:p>
    <w:p w14:paraId="3AB6C10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使用非财政拨款</w:t>
      </w:r>
      <w:r>
        <w:rPr>
          <w:rFonts w:hint="eastAsia" w:ascii="仿宋" w:hAnsi="仿宋" w:eastAsia="仿宋" w:cs="仿宋"/>
          <w:color w:val="auto"/>
          <w:sz w:val="32"/>
          <w:szCs w:val="32"/>
        </w:rPr>
        <w:t>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p>
    <w:p w14:paraId="5B2819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仿宋_GB2312" w:hAnsi="ˎ̥" w:eastAsia="仿宋_GB2312"/>
          <w:sz w:val="32"/>
          <w:szCs w:val="32"/>
        </w:rPr>
      </w:pPr>
      <w:r>
        <w:rPr>
          <w:rFonts w:hint="eastAsia" w:ascii="仿宋" w:hAnsi="仿宋" w:eastAsia="仿宋" w:cs="仿宋"/>
          <w:color w:val="auto"/>
          <w:sz w:val="32"/>
          <w:szCs w:val="32"/>
        </w:rPr>
        <w:t>年初结转结余</w:t>
      </w:r>
      <w:r>
        <w:rPr>
          <w:rFonts w:hint="eastAsia" w:ascii="仿宋" w:hAnsi="仿宋" w:eastAsia="仿宋" w:cs="仿宋"/>
          <w:color w:val="auto"/>
          <w:sz w:val="32"/>
          <w:szCs w:val="32"/>
          <w:lang w:val="en-US"/>
        </w:rPr>
        <w:t>1144.89</w:t>
      </w:r>
      <w:r>
        <w:rPr>
          <w:rFonts w:hint="eastAsia" w:ascii="仿宋" w:hAnsi="仿宋" w:eastAsia="仿宋" w:cs="仿宋"/>
          <w:color w:val="auto"/>
          <w:sz w:val="32"/>
          <w:szCs w:val="32"/>
        </w:rPr>
        <w:t>万</w:t>
      </w:r>
      <w:r>
        <w:rPr>
          <w:rFonts w:hint="eastAsia" w:ascii="仿宋" w:hAnsi="仿宋" w:eastAsia="仿宋" w:cs="仿宋"/>
          <w:sz w:val="32"/>
          <w:szCs w:val="32"/>
        </w:rPr>
        <w:t>元，主要是</w:t>
      </w:r>
      <w:r>
        <w:rPr>
          <w:rFonts w:hint="eastAsia" w:ascii="仿宋" w:hAnsi="仿宋" w:eastAsia="仿宋" w:cs="仿宋"/>
          <w:sz w:val="32"/>
          <w:szCs w:val="32"/>
          <w:lang w:val="en-US" w:eastAsia="zh-CN"/>
        </w:rPr>
        <w:t>雇员经费以及转移支付资金</w:t>
      </w:r>
      <w:r>
        <w:rPr>
          <w:rFonts w:hint="eastAsia" w:ascii="仿宋" w:hAnsi="仿宋" w:eastAsia="仿宋" w:cs="仿宋"/>
          <w:sz w:val="32"/>
          <w:szCs w:val="32"/>
          <w:lang w:eastAsia="zh-CN"/>
        </w:rPr>
        <w:t>。</w:t>
      </w:r>
      <w:r>
        <w:rPr>
          <w:rFonts w:hint="eastAsia" w:ascii="仿宋" w:hAnsi="仿宋" w:eastAsia="仿宋" w:cs="仿宋"/>
          <w:sz w:val="32"/>
          <w:szCs w:val="32"/>
        </w:rPr>
        <w:t>较</w:t>
      </w:r>
      <w:r>
        <w:rPr>
          <w:rFonts w:hint="eastAsia" w:ascii="仿宋" w:hAnsi="仿宋" w:eastAsia="仿宋" w:cs="仿宋"/>
          <w:sz w:val="32"/>
          <w:szCs w:val="32"/>
          <w:lang w:val="en-US"/>
        </w:rPr>
        <w:t>2024</w:t>
      </w:r>
      <w:r>
        <w:rPr>
          <w:rFonts w:hint="eastAsia" w:ascii="仿宋" w:hAnsi="仿宋" w:eastAsia="仿宋" w:cs="仿宋"/>
          <w:sz w:val="32"/>
          <w:szCs w:val="32"/>
        </w:rPr>
        <w:t>年度决算数增加</w:t>
      </w:r>
      <w:r>
        <w:rPr>
          <w:rFonts w:hint="eastAsia" w:ascii="仿宋" w:hAnsi="仿宋" w:eastAsia="仿宋" w:cs="仿宋"/>
          <w:sz w:val="32"/>
          <w:szCs w:val="32"/>
          <w:lang w:val="en-US" w:eastAsia="zh-CN"/>
        </w:rPr>
        <w:t>36.32</w:t>
      </w:r>
      <w:r>
        <w:rPr>
          <w:rFonts w:hint="eastAsia" w:ascii="仿宋" w:hAnsi="仿宋" w:eastAsia="仿宋" w:cs="仿宋"/>
          <w:sz w:val="32"/>
          <w:szCs w:val="32"/>
        </w:rPr>
        <w:t>万元，增长</w:t>
      </w:r>
      <w:r>
        <w:rPr>
          <w:rFonts w:hint="eastAsia" w:ascii="仿宋" w:hAnsi="仿宋" w:eastAsia="仿宋" w:cs="仿宋"/>
          <w:sz w:val="32"/>
          <w:szCs w:val="32"/>
          <w:lang w:val="en-US" w:eastAsia="zh-CN"/>
        </w:rPr>
        <w:t>3.28</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年末封账导致应支付资金未能及时支付</w:t>
      </w:r>
      <w:r>
        <w:rPr>
          <w:rFonts w:hint="eastAsia" w:ascii="仿宋" w:hAnsi="仿宋" w:eastAsia="仿宋" w:cs="仿宋"/>
          <w:sz w:val="32"/>
          <w:szCs w:val="32"/>
        </w:rPr>
        <w:t>。</w:t>
      </w:r>
    </w:p>
    <w:p w14:paraId="74FADFF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14:paraId="788E8B0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本年支出</w:t>
      </w:r>
      <w:r>
        <w:rPr>
          <w:rFonts w:hint="eastAsia" w:ascii="仿宋" w:hAnsi="仿宋" w:eastAsia="仿宋" w:cs="仿宋"/>
          <w:color w:val="auto"/>
          <w:sz w:val="32"/>
          <w:szCs w:val="32"/>
          <w:lang w:val="en-US"/>
        </w:rPr>
        <w:t>13581.27</w:t>
      </w:r>
      <w:r>
        <w:rPr>
          <w:rFonts w:hint="eastAsia" w:ascii="仿宋" w:hAnsi="仿宋" w:eastAsia="仿宋" w:cs="仿宋"/>
          <w:color w:val="auto"/>
          <w:sz w:val="32"/>
          <w:szCs w:val="32"/>
        </w:rPr>
        <w:t>万元。</w:t>
      </w:r>
    </w:p>
    <w:p w14:paraId="3826849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结余分配</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万元，较</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年度决算数</w:t>
      </w:r>
      <w:r>
        <w:rPr>
          <w:rFonts w:hint="eastAsia" w:ascii="仿宋" w:hAnsi="仿宋" w:eastAsia="仿宋" w:cs="仿宋"/>
          <w:color w:val="auto"/>
          <w:sz w:val="32"/>
          <w:szCs w:val="32"/>
          <w:lang w:val="en-US" w:eastAsia="zh-CN"/>
        </w:rPr>
        <w:t>持平</w:t>
      </w:r>
      <w:r>
        <w:rPr>
          <w:rFonts w:hint="eastAsia" w:ascii="仿宋" w:hAnsi="仿宋" w:eastAsia="仿宋" w:cs="仿宋"/>
          <w:color w:val="auto"/>
          <w:sz w:val="32"/>
          <w:szCs w:val="32"/>
        </w:rPr>
        <w:t>。</w:t>
      </w:r>
    </w:p>
    <w:p w14:paraId="33C8A0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auto"/>
          <w:sz w:val="32"/>
          <w:szCs w:val="32"/>
        </w:rPr>
        <w:t>年末结转结余</w:t>
      </w:r>
      <w:r>
        <w:rPr>
          <w:rFonts w:hint="eastAsia" w:ascii="仿宋" w:hAnsi="仿宋" w:eastAsia="仿宋" w:cs="仿宋"/>
          <w:color w:val="auto"/>
          <w:sz w:val="32"/>
          <w:szCs w:val="32"/>
          <w:lang w:val="en-US"/>
        </w:rPr>
        <w:t>1339.67</w:t>
      </w:r>
      <w:r>
        <w:rPr>
          <w:rFonts w:hint="eastAsia" w:ascii="仿宋" w:hAnsi="仿宋" w:eastAsia="仿宋" w:cs="仿宋"/>
          <w:color w:val="auto"/>
          <w:sz w:val="32"/>
          <w:szCs w:val="32"/>
        </w:rPr>
        <w:t>万元</w:t>
      </w:r>
      <w:r>
        <w:rPr>
          <w:rFonts w:hint="eastAsia" w:ascii="仿宋" w:hAnsi="仿宋" w:eastAsia="仿宋" w:cs="仿宋"/>
          <w:sz w:val="32"/>
          <w:szCs w:val="32"/>
        </w:rPr>
        <w:t>，主要是</w:t>
      </w:r>
      <w:r>
        <w:rPr>
          <w:rFonts w:hint="eastAsia" w:ascii="仿宋" w:hAnsi="仿宋" w:eastAsia="仿宋" w:cs="仿宋"/>
          <w:sz w:val="32"/>
          <w:szCs w:val="32"/>
          <w:lang w:val="en-US" w:eastAsia="zh-CN"/>
        </w:rPr>
        <w:t>雇员经费以及转移支付资金</w:t>
      </w:r>
      <w:r>
        <w:rPr>
          <w:rFonts w:hint="eastAsia" w:ascii="仿宋" w:hAnsi="仿宋" w:eastAsia="仿宋" w:cs="仿宋"/>
          <w:sz w:val="32"/>
          <w:szCs w:val="32"/>
        </w:rPr>
        <w:t>，较</w:t>
      </w:r>
      <w:r>
        <w:rPr>
          <w:rFonts w:hint="eastAsia" w:ascii="仿宋" w:hAnsi="仿宋" w:eastAsia="仿宋" w:cs="仿宋"/>
          <w:sz w:val="32"/>
          <w:szCs w:val="32"/>
          <w:lang w:val="en-US"/>
        </w:rPr>
        <w:t>2024</w:t>
      </w:r>
      <w:r>
        <w:rPr>
          <w:rFonts w:hint="eastAsia" w:ascii="仿宋" w:hAnsi="仿宋" w:eastAsia="仿宋" w:cs="仿宋"/>
          <w:sz w:val="32"/>
          <w:szCs w:val="32"/>
        </w:rPr>
        <w:t>年度决算数减少</w:t>
      </w:r>
      <w:r>
        <w:rPr>
          <w:rFonts w:hint="eastAsia" w:ascii="仿宋" w:hAnsi="仿宋" w:eastAsia="仿宋" w:cs="仿宋"/>
          <w:sz w:val="32"/>
          <w:szCs w:val="32"/>
          <w:lang w:val="en-US" w:eastAsia="zh-CN"/>
        </w:rPr>
        <w:t>353.93</w:t>
      </w:r>
      <w:r>
        <w:rPr>
          <w:rFonts w:hint="eastAsia" w:ascii="仿宋" w:hAnsi="仿宋" w:eastAsia="仿宋" w:cs="仿宋"/>
          <w:sz w:val="32"/>
          <w:szCs w:val="32"/>
        </w:rPr>
        <w:t>万元，下降</w:t>
      </w:r>
      <w:r>
        <w:rPr>
          <w:rFonts w:hint="eastAsia" w:ascii="仿宋" w:hAnsi="仿宋" w:eastAsia="仿宋" w:cs="仿宋"/>
          <w:sz w:val="32"/>
          <w:szCs w:val="32"/>
          <w:lang w:val="en-US" w:eastAsia="zh-CN"/>
        </w:rPr>
        <w:t>20.90</w:t>
      </w:r>
      <w:r>
        <w:rPr>
          <w:rFonts w:hint="eastAsia" w:ascii="仿宋" w:hAnsi="仿宋" w:eastAsia="仿宋" w:cs="仿宋"/>
          <w:sz w:val="32"/>
          <w:szCs w:val="32"/>
        </w:rPr>
        <w:t>%，主要原因是</w:t>
      </w:r>
      <w:r>
        <w:rPr>
          <w:rFonts w:hint="eastAsia" w:ascii="仿宋" w:hAnsi="仿宋" w:eastAsia="仿宋" w:cs="仿宋"/>
          <w:sz w:val="32"/>
          <w:szCs w:val="32"/>
          <w:lang w:val="en-US" w:eastAsia="zh-CN"/>
        </w:rPr>
        <w:t>2025年较2024年财经纪律执行良好，及时结清各类支出账务，故而结余资金大幅度下降</w:t>
      </w:r>
      <w:r>
        <w:rPr>
          <w:rFonts w:hint="eastAsia" w:ascii="仿宋" w:hAnsi="仿宋" w:eastAsia="仿宋" w:cs="仿宋"/>
          <w:sz w:val="32"/>
          <w:szCs w:val="32"/>
        </w:rPr>
        <w:t>。</w:t>
      </w:r>
    </w:p>
    <w:p w14:paraId="1CA2D923">
      <w:pPr>
        <w:keepNext w:val="0"/>
        <w:keepLines w:val="0"/>
        <w:pageBreakBefore w:val="0"/>
        <w:widowControl w:val="0"/>
        <w:numPr>
          <w:ilvl w:val="0"/>
          <w:numId w:val="2"/>
        </w:numPr>
        <w:kinsoku/>
        <w:wordWrap/>
        <w:overflowPunct/>
        <w:topLinePunct w:val="0"/>
        <w:autoSpaceDE/>
        <w:autoSpaceDN/>
        <w:bidi w:val="0"/>
        <w:adjustRightInd/>
        <w:snapToGrid/>
        <w:spacing w:line="578" w:lineRule="exact"/>
        <w:ind w:left="0" w:leftChars="0"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收入决算情况说明</w:t>
      </w:r>
    </w:p>
    <w:p w14:paraId="0F317C3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本年收入</w:t>
      </w:r>
      <w:r>
        <w:rPr>
          <w:rFonts w:hint="eastAsia" w:ascii="仿宋" w:hAnsi="仿宋" w:eastAsia="仿宋" w:cs="仿宋"/>
          <w:color w:val="auto"/>
          <w:sz w:val="32"/>
          <w:szCs w:val="32"/>
          <w:lang w:val="en-US"/>
        </w:rPr>
        <w:t>13776.05</w:t>
      </w:r>
      <w:r>
        <w:rPr>
          <w:rFonts w:hint="eastAsia" w:ascii="仿宋" w:hAnsi="仿宋" w:eastAsia="仿宋" w:cs="仿宋"/>
          <w:sz w:val="32"/>
          <w:szCs w:val="32"/>
        </w:rPr>
        <w:t>万元，其中：财政拨款收入</w:t>
      </w:r>
      <w:r>
        <w:rPr>
          <w:rFonts w:hint="eastAsia" w:ascii="仿宋" w:hAnsi="仿宋" w:eastAsia="仿宋" w:cs="仿宋"/>
          <w:color w:val="auto"/>
          <w:sz w:val="32"/>
          <w:szCs w:val="32"/>
          <w:lang w:val="en-US"/>
        </w:rPr>
        <w:t>7439.69</w:t>
      </w:r>
      <w:r>
        <w:rPr>
          <w:rFonts w:hint="eastAsia" w:ascii="仿宋" w:hAnsi="仿宋" w:eastAsia="仿宋" w:cs="仿宋"/>
          <w:sz w:val="32"/>
          <w:szCs w:val="32"/>
        </w:rPr>
        <w:t>万元，占</w:t>
      </w:r>
      <w:r>
        <w:rPr>
          <w:rFonts w:hint="eastAsia" w:ascii="仿宋" w:hAnsi="仿宋" w:eastAsia="仿宋" w:cs="仿宋"/>
          <w:color w:val="auto"/>
          <w:sz w:val="32"/>
          <w:szCs w:val="32"/>
          <w:lang w:val="en-US" w:eastAsia="zh-CN"/>
        </w:rPr>
        <w:t>54</w:t>
      </w:r>
      <w:r>
        <w:rPr>
          <w:rFonts w:hint="eastAsia" w:ascii="仿宋" w:hAnsi="仿宋" w:eastAsia="仿宋" w:cs="仿宋"/>
          <w:sz w:val="32"/>
          <w:szCs w:val="32"/>
        </w:rPr>
        <w:t>%；</w:t>
      </w:r>
      <w:r>
        <w:rPr>
          <w:rFonts w:hint="eastAsia" w:ascii="仿宋" w:hAnsi="仿宋" w:eastAsia="仿宋" w:cs="仿宋"/>
          <w:color w:val="auto"/>
          <w:sz w:val="32"/>
          <w:szCs w:val="32"/>
        </w:rPr>
        <w:t>上级补助收入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%；事业收入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%；经营收入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%；附属单位上缴收入</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%；其他收入</w:t>
      </w:r>
      <w:r>
        <w:rPr>
          <w:rFonts w:hint="eastAsia" w:ascii="仿宋" w:hAnsi="仿宋" w:eastAsia="仿宋" w:cs="仿宋"/>
          <w:color w:val="auto"/>
          <w:sz w:val="32"/>
          <w:szCs w:val="32"/>
          <w:lang w:val="en-US"/>
        </w:rPr>
        <w:t>6336.36</w:t>
      </w:r>
      <w:r>
        <w:rPr>
          <w:rFonts w:hint="eastAsia" w:ascii="仿宋" w:hAnsi="仿宋" w:eastAsia="仿宋" w:cs="仿宋"/>
          <w:color w:val="auto"/>
          <w:sz w:val="32"/>
          <w:szCs w:val="32"/>
        </w:rPr>
        <w:t>万元</w:t>
      </w:r>
      <w:r>
        <w:rPr>
          <w:rFonts w:hint="eastAsia" w:ascii="仿宋" w:hAnsi="仿宋" w:eastAsia="仿宋" w:cs="仿宋"/>
          <w:sz w:val="32"/>
          <w:szCs w:val="32"/>
        </w:rPr>
        <w:t>，占</w:t>
      </w:r>
      <w:r>
        <w:rPr>
          <w:rFonts w:hint="eastAsia" w:ascii="仿宋" w:hAnsi="仿宋" w:eastAsia="仿宋" w:cs="仿宋"/>
          <w:color w:val="auto"/>
          <w:sz w:val="32"/>
          <w:szCs w:val="32"/>
          <w:lang w:val="en-US" w:eastAsia="zh-CN"/>
        </w:rPr>
        <w:t>45</w:t>
      </w:r>
      <w:r>
        <w:rPr>
          <w:rFonts w:hint="eastAsia" w:ascii="仿宋" w:hAnsi="仿宋" w:eastAsia="仿宋" w:cs="仿宋"/>
          <w:color w:val="auto"/>
          <w:sz w:val="32"/>
          <w:szCs w:val="32"/>
        </w:rPr>
        <w:t>%</w:t>
      </w:r>
      <w:r>
        <w:rPr>
          <w:rFonts w:hint="eastAsia" w:ascii="仿宋" w:hAnsi="仿宋" w:eastAsia="仿宋" w:cs="仿宋"/>
          <w:sz w:val="32"/>
          <w:szCs w:val="32"/>
        </w:rPr>
        <w:t>。</w:t>
      </w:r>
    </w:p>
    <w:p w14:paraId="5FF693E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三、支出决算情况说明</w:t>
      </w:r>
    </w:p>
    <w:p w14:paraId="294101D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本年支出</w:t>
      </w:r>
      <w:r>
        <w:rPr>
          <w:rFonts w:hint="eastAsia" w:ascii="仿宋" w:hAnsi="仿宋" w:eastAsia="仿宋" w:cs="仿宋"/>
          <w:color w:val="auto"/>
          <w:sz w:val="32"/>
          <w:szCs w:val="32"/>
          <w:lang w:val="en-US"/>
        </w:rPr>
        <w:t>13581.27</w:t>
      </w:r>
      <w:r>
        <w:rPr>
          <w:rFonts w:hint="eastAsia" w:ascii="仿宋" w:hAnsi="仿宋" w:eastAsia="仿宋" w:cs="仿宋"/>
          <w:color w:val="auto"/>
          <w:sz w:val="32"/>
          <w:szCs w:val="32"/>
        </w:rPr>
        <w:t>万元，其中：基本支出</w:t>
      </w:r>
      <w:r>
        <w:rPr>
          <w:rFonts w:hint="eastAsia" w:ascii="仿宋" w:hAnsi="仿宋" w:eastAsia="仿宋" w:cs="仿宋"/>
          <w:color w:val="auto"/>
          <w:sz w:val="32"/>
          <w:szCs w:val="32"/>
          <w:lang w:val="en-US"/>
        </w:rPr>
        <w:t>5769.57</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42.48</w:t>
      </w:r>
      <w:r>
        <w:rPr>
          <w:rFonts w:hint="eastAsia" w:ascii="仿宋" w:hAnsi="仿宋" w:eastAsia="仿宋" w:cs="仿宋"/>
          <w:color w:val="auto"/>
          <w:sz w:val="32"/>
          <w:szCs w:val="32"/>
        </w:rPr>
        <w:t>%；项目支出</w:t>
      </w:r>
      <w:r>
        <w:rPr>
          <w:rFonts w:hint="eastAsia" w:ascii="仿宋" w:hAnsi="仿宋" w:eastAsia="仿宋" w:cs="仿宋"/>
          <w:color w:val="auto"/>
          <w:sz w:val="32"/>
          <w:szCs w:val="32"/>
          <w:lang w:val="en-US"/>
        </w:rPr>
        <w:t>7811.70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57.52</w:t>
      </w:r>
      <w:r>
        <w:rPr>
          <w:rFonts w:hint="eastAsia" w:ascii="仿宋" w:hAnsi="仿宋" w:eastAsia="仿宋" w:cs="仿宋"/>
          <w:color w:val="auto"/>
          <w:sz w:val="32"/>
          <w:szCs w:val="32"/>
        </w:rPr>
        <w:t>%；上缴上级支出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%；经营支出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%；对附属单位补助支出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w:t>
      </w:r>
    </w:p>
    <w:p w14:paraId="6EA146F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四、财政拨款收入支出决算总体情况说明</w:t>
      </w:r>
    </w:p>
    <w:p w14:paraId="3CD7D4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年度财政拨款收入</w:t>
      </w:r>
      <w:r>
        <w:rPr>
          <w:rFonts w:hint="eastAsia" w:ascii="仿宋" w:hAnsi="仿宋" w:eastAsia="仿宋" w:cs="仿宋"/>
          <w:color w:val="auto"/>
          <w:sz w:val="32"/>
          <w:szCs w:val="32"/>
          <w:lang w:val="en-US"/>
        </w:rPr>
        <w:t>7439.69</w:t>
      </w:r>
      <w:r>
        <w:rPr>
          <w:rFonts w:hint="eastAsia" w:ascii="仿宋" w:hAnsi="仿宋" w:eastAsia="仿宋" w:cs="仿宋"/>
          <w:color w:val="auto"/>
          <w:sz w:val="32"/>
          <w:szCs w:val="32"/>
        </w:rPr>
        <w:t>万元，支出</w:t>
      </w:r>
      <w:r>
        <w:rPr>
          <w:rFonts w:hint="eastAsia" w:ascii="仿宋" w:hAnsi="仿宋" w:eastAsia="仿宋" w:cs="仿宋"/>
          <w:color w:val="auto"/>
          <w:sz w:val="32"/>
          <w:szCs w:val="32"/>
          <w:lang w:val="en-US"/>
        </w:rPr>
        <w:t>7439.69</w:t>
      </w:r>
      <w:r>
        <w:rPr>
          <w:rFonts w:hint="eastAsia" w:ascii="仿宋" w:hAnsi="仿宋" w:eastAsia="仿宋" w:cs="仿宋"/>
          <w:color w:val="auto"/>
          <w:sz w:val="32"/>
          <w:szCs w:val="32"/>
        </w:rPr>
        <w:t>万元。</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年度相比，财政拨款收入减少</w:t>
      </w:r>
      <w:r>
        <w:rPr>
          <w:rFonts w:hint="eastAsia" w:ascii="仿宋" w:hAnsi="仿宋" w:eastAsia="仿宋" w:cs="仿宋"/>
          <w:sz w:val="32"/>
          <w:szCs w:val="32"/>
          <w:lang w:val="en-US" w:eastAsia="zh-CN"/>
        </w:rPr>
        <w:t>192.82</w:t>
      </w:r>
      <w:r>
        <w:rPr>
          <w:rFonts w:hint="eastAsia" w:ascii="仿宋" w:hAnsi="仿宋" w:eastAsia="仿宋" w:cs="仿宋"/>
          <w:sz w:val="32"/>
          <w:szCs w:val="32"/>
        </w:rPr>
        <w:t>万元，下降</w:t>
      </w:r>
      <w:r>
        <w:rPr>
          <w:rFonts w:hint="eastAsia" w:ascii="仿宋" w:hAnsi="仿宋" w:eastAsia="仿宋" w:cs="仿宋"/>
          <w:sz w:val="32"/>
          <w:szCs w:val="32"/>
          <w:lang w:val="en-US" w:eastAsia="zh-CN"/>
        </w:rPr>
        <w:t>2.6</w:t>
      </w:r>
      <w:r>
        <w:rPr>
          <w:rFonts w:hint="eastAsia" w:ascii="仿宋" w:hAnsi="仿宋" w:eastAsia="仿宋" w:cs="仿宋"/>
          <w:sz w:val="32"/>
          <w:szCs w:val="32"/>
        </w:rPr>
        <w:t>%，主要原因</w:t>
      </w:r>
      <w:r>
        <w:rPr>
          <w:rFonts w:hint="eastAsia" w:ascii="仿宋" w:hAnsi="仿宋" w:eastAsia="仿宋" w:cs="仿宋"/>
          <w:sz w:val="32"/>
          <w:szCs w:val="32"/>
          <w:lang w:val="en-US" w:eastAsia="zh-CN"/>
        </w:rPr>
        <w:t>是2025年预算编制中，实行了过紧日子的政策要求，压缩了不必要的预算</w:t>
      </w:r>
      <w:r>
        <w:rPr>
          <w:rFonts w:hint="eastAsia" w:ascii="仿宋" w:hAnsi="仿宋" w:eastAsia="仿宋" w:cs="仿宋"/>
          <w:sz w:val="32"/>
          <w:szCs w:val="32"/>
        </w:rPr>
        <w:t>。支出减少</w:t>
      </w:r>
      <w:r>
        <w:rPr>
          <w:rFonts w:hint="eastAsia" w:ascii="仿宋" w:hAnsi="仿宋" w:eastAsia="仿宋" w:cs="仿宋"/>
          <w:sz w:val="32"/>
          <w:szCs w:val="32"/>
          <w:lang w:val="en-US" w:eastAsia="zh-CN"/>
        </w:rPr>
        <w:t>192.82</w:t>
      </w:r>
      <w:r>
        <w:rPr>
          <w:rFonts w:hint="eastAsia" w:ascii="仿宋" w:hAnsi="仿宋" w:eastAsia="仿宋" w:cs="仿宋"/>
          <w:sz w:val="32"/>
          <w:szCs w:val="32"/>
        </w:rPr>
        <w:t>万元，下降</w:t>
      </w:r>
      <w:r>
        <w:rPr>
          <w:rFonts w:hint="eastAsia" w:ascii="仿宋" w:hAnsi="仿宋" w:eastAsia="仿宋" w:cs="仿宋"/>
          <w:sz w:val="32"/>
          <w:szCs w:val="32"/>
          <w:lang w:val="en-US" w:eastAsia="zh-CN"/>
        </w:rPr>
        <w:t>2.6</w:t>
      </w:r>
      <w:r>
        <w:rPr>
          <w:rFonts w:hint="eastAsia" w:ascii="仿宋" w:hAnsi="仿宋" w:eastAsia="仿宋" w:cs="仿宋"/>
          <w:sz w:val="32"/>
          <w:szCs w:val="32"/>
        </w:rPr>
        <w:t>%，主要原因</w:t>
      </w:r>
      <w:r>
        <w:rPr>
          <w:rFonts w:hint="eastAsia" w:ascii="仿宋" w:hAnsi="仿宋" w:eastAsia="仿宋" w:cs="仿宋"/>
          <w:sz w:val="32"/>
          <w:szCs w:val="32"/>
          <w:lang w:val="en-US" w:eastAsia="zh-CN"/>
        </w:rPr>
        <w:t>是2025年预算开支严格按照压缩后的预算进行开支</w:t>
      </w:r>
      <w:r>
        <w:rPr>
          <w:rFonts w:hint="eastAsia" w:ascii="仿宋" w:hAnsi="仿宋" w:eastAsia="仿宋" w:cs="仿宋"/>
          <w:sz w:val="32"/>
          <w:szCs w:val="32"/>
        </w:rPr>
        <w:t>。</w:t>
      </w:r>
    </w:p>
    <w:p w14:paraId="2F2814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财政拨款年初结转结</w:t>
      </w:r>
      <w:r>
        <w:rPr>
          <w:rFonts w:hint="eastAsia" w:ascii="仿宋" w:hAnsi="仿宋" w:eastAsia="仿宋" w:cs="仿宋"/>
          <w:color w:val="auto"/>
          <w:sz w:val="32"/>
          <w:szCs w:val="32"/>
        </w:rPr>
        <w:t>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p>
    <w:p w14:paraId="604B142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财政拨款年末结转结余</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p>
    <w:p w14:paraId="7BE8C2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14:paraId="5561639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77" w:name="_Toc9989_WPSOffice_Level2"/>
      <w:bookmarkStart w:id="78" w:name="_Toc13694_WPSOffice_Level2"/>
      <w:bookmarkStart w:id="79" w:name="_Toc23005_WPSOffice_Level2"/>
      <w:bookmarkStart w:id="80" w:name="_Toc17398_WPSOffice_Level2"/>
      <w:bookmarkStart w:id="81" w:name="_Toc21737_WPSOffice_Level2"/>
      <w:bookmarkStart w:id="82" w:name="_Toc19665_WPSOffice_Level2"/>
      <w:r>
        <w:rPr>
          <w:rFonts w:hint="eastAsia" w:ascii="楷体" w:hAnsi="楷体" w:eastAsia="楷体" w:cs="楷体"/>
          <w:sz w:val="32"/>
          <w:szCs w:val="32"/>
        </w:rPr>
        <w:t>（一）一般公共预算财政拨款支出决算总体情况</w:t>
      </w:r>
      <w:bookmarkEnd w:id="77"/>
      <w:bookmarkEnd w:id="78"/>
      <w:bookmarkEnd w:id="79"/>
      <w:bookmarkEnd w:id="80"/>
      <w:bookmarkEnd w:id="81"/>
      <w:bookmarkEnd w:id="82"/>
    </w:p>
    <w:p w14:paraId="0B0CF27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年度一般公共预算财政拨</w:t>
      </w:r>
      <w:r>
        <w:rPr>
          <w:rFonts w:hint="eastAsia" w:ascii="仿宋" w:hAnsi="仿宋" w:eastAsia="仿宋" w:cs="仿宋"/>
          <w:color w:val="auto"/>
          <w:sz w:val="32"/>
          <w:szCs w:val="32"/>
        </w:rPr>
        <w:t>款支出</w:t>
      </w:r>
      <w:r>
        <w:rPr>
          <w:rFonts w:hint="eastAsia" w:ascii="仿宋" w:hAnsi="仿宋" w:eastAsia="仿宋" w:cs="仿宋"/>
          <w:color w:val="auto"/>
          <w:sz w:val="32"/>
          <w:szCs w:val="32"/>
          <w:lang w:val="en-US"/>
        </w:rPr>
        <w:t>7439.69</w:t>
      </w:r>
      <w:r>
        <w:rPr>
          <w:rFonts w:hint="eastAsia" w:ascii="仿宋" w:hAnsi="仿宋" w:eastAsia="仿宋" w:cs="仿宋"/>
          <w:sz w:val="32"/>
          <w:szCs w:val="32"/>
        </w:rPr>
        <w:t>万元，占本年支</w:t>
      </w:r>
      <w:r>
        <w:rPr>
          <w:rFonts w:hint="eastAsia" w:ascii="仿宋" w:hAnsi="仿宋" w:eastAsia="仿宋" w:cs="仿宋"/>
          <w:color w:val="auto"/>
          <w:sz w:val="32"/>
          <w:szCs w:val="32"/>
        </w:rPr>
        <w:t>出合计的</w:t>
      </w:r>
      <w:r>
        <w:rPr>
          <w:rFonts w:hint="eastAsia" w:ascii="仿宋" w:hAnsi="仿宋" w:eastAsia="仿宋" w:cs="仿宋"/>
          <w:color w:val="auto"/>
          <w:sz w:val="32"/>
          <w:szCs w:val="32"/>
          <w:lang w:val="en-US" w:eastAsia="zh-CN"/>
        </w:rPr>
        <w:t>54.78</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年度相比，一般公共预算财政拨款支出减少</w:t>
      </w:r>
      <w:r>
        <w:rPr>
          <w:rFonts w:hint="eastAsia" w:ascii="仿宋" w:hAnsi="仿宋" w:eastAsia="仿宋" w:cs="仿宋"/>
          <w:color w:val="auto"/>
          <w:sz w:val="32"/>
          <w:szCs w:val="32"/>
          <w:lang w:val="en-US" w:eastAsia="zh-CN"/>
        </w:rPr>
        <w:t>192.82</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2.6</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2025年预算编制中，实行了过紧日子的政策要求，压缩了不必要的预算开支</w:t>
      </w:r>
      <w:r>
        <w:rPr>
          <w:rFonts w:hint="eastAsia" w:ascii="仿宋" w:hAnsi="仿宋" w:eastAsia="仿宋" w:cs="仿宋"/>
          <w:color w:val="auto"/>
          <w:sz w:val="32"/>
          <w:szCs w:val="32"/>
        </w:rPr>
        <w:t>。</w:t>
      </w:r>
    </w:p>
    <w:p w14:paraId="02CF4A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3" w:name="_Toc19075_WPSOffice_Level2"/>
      <w:bookmarkStart w:id="84" w:name="_Toc19535_WPSOffice_Level2"/>
      <w:bookmarkStart w:id="85" w:name="_Toc27767_WPSOffice_Level2"/>
      <w:bookmarkStart w:id="86" w:name="_Toc23864_WPSOffice_Level2"/>
      <w:bookmarkStart w:id="87" w:name="_Toc18793_WPSOffice_Level2"/>
      <w:bookmarkStart w:id="88" w:name="_Toc2711_WPSOffice_Level2"/>
      <w:r>
        <w:rPr>
          <w:rFonts w:hint="eastAsia" w:ascii="楷体" w:hAnsi="楷体" w:eastAsia="楷体" w:cs="楷体"/>
          <w:sz w:val="32"/>
          <w:szCs w:val="32"/>
        </w:rPr>
        <w:t>（二）一般公共预算财政拨款支出决算结构情况</w:t>
      </w:r>
      <w:bookmarkEnd w:id="83"/>
      <w:bookmarkEnd w:id="84"/>
      <w:bookmarkEnd w:id="85"/>
      <w:bookmarkEnd w:id="86"/>
      <w:bookmarkEnd w:id="87"/>
      <w:bookmarkEnd w:id="88"/>
    </w:p>
    <w:p w14:paraId="1BE4645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w:t>
      </w:r>
      <w:r>
        <w:rPr>
          <w:rFonts w:hint="eastAsia" w:ascii="仿宋" w:hAnsi="仿宋" w:eastAsia="仿宋" w:cs="仿宋"/>
          <w:color w:val="auto"/>
          <w:sz w:val="32"/>
          <w:szCs w:val="32"/>
        </w:rPr>
        <w:t>政拨款支出</w:t>
      </w:r>
      <w:r>
        <w:rPr>
          <w:rFonts w:hint="eastAsia" w:ascii="仿宋" w:hAnsi="仿宋" w:eastAsia="仿宋" w:cs="仿宋"/>
          <w:color w:val="auto"/>
          <w:sz w:val="32"/>
          <w:szCs w:val="32"/>
          <w:lang w:val="en-US"/>
        </w:rPr>
        <w:t>7439.69</w:t>
      </w:r>
      <w:r>
        <w:rPr>
          <w:rFonts w:hint="eastAsia" w:ascii="仿宋" w:hAnsi="仿宋" w:eastAsia="仿宋" w:cs="仿宋"/>
          <w:color w:val="auto"/>
          <w:sz w:val="32"/>
          <w:szCs w:val="32"/>
        </w:rPr>
        <w:t>万元，主要用于以下方面：</w:t>
      </w:r>
      <w:r>
        <w:rPr>
          <w:rFonts w:hint="eastAsia" w:ascii="仿宋" w:hAnsi="仿宋" w:eastAsia="仿宋" w:cs="仿宋"/>
          <w:b/>
          <w:color w:val="auto"/>
          <w:sz w:val="32"/>
          <w:szCs w:val="32"/>
        </w:rPr>
        <w:t>公共安全支出（类）</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5830.58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78.37</w:t>
      </w:r>
      <w:r>
        <w:rPr>
          <w:rFonts w:hint="eastAsia" w:ascii="仿宋" w:hAnsi="仿宋" w:eastAsia="仿宋" w:cs="仿宋"/>
          <w:color w:val="auto"/>
          <w:sz w:val="32"/>
          <w:szCs w:val="32"/>
        </w:rPr>
        <w:t>%；社会保障和就业支出</w:t>
      </w:r>
      <w:r>
        <w:rPr>
          <w:rFonts w:hint="eastAsia" w:ascii="仿宋" w:hAnsi="仿宋" w:eastAsia="仿宋" w:cs="仿宋"/>
          <w:b/>
          <w:color w:val="auto"/>
          <w:sz w:val="32"/>
          <w:szCs w:val="32"/>
        </w:rPr>
        <w:t>（类）</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655</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8.8</w:t>
      </w:r>
      <w:r>
        <w:rPr>
          <w:rFonts w:hint="eastAsia" w:ascii="仿宋" w:hAnsi="仿宋" w:eastAsia="仿宋" w:cs="仿宋"/>
          <w:color w:val="auto"/>
          <w:sz w:val="32"/>
          <w:szCs w:val="32"/>
        </w:rPr>
        <w:t>%；</w:t>
      </w:r>
      <w:r>
        <w:rPr>
          <w:rFonts w:hint="eastAsia" w:ascii="仿宋" w:hAnsi="仿宋" w:eastAsia="仿宋" w:cs="仿宋"/>
          <w:b/>
          <w:bCs/>
          <w:color w:val="auto"/>
          <w:sz w:val="32"/>
          <w:szCs w:val="32"/>
        </w:rPr>
        <w:t>卫生健康支出（类）</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528.88</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7.11</w:t>
      </w:r>
      <w:r>
        <w:rPr>
          <w:rFonts w:hint="eastAsia" w:ascii="仿宋" w:hAnsi="仿宋" w:eastAsia="仿宋" w:cs="仿宋"/>
          <w:color w:val="auto"/>
          <w:sz w:val="32"/>
          <w:szCs w:val="32"/>
        </w:rPr>
        <w:t>%；住房保障支出</w:t>
      </w:r>
      <w:r>
        <w:rPr>
          <w:rFonts w:hint="eastAsia" w:ascii="仿宋" w:hAnsi="仿宋" w:eastAsia="仿宋" w:cs="仿宋"/>
          <w:b/>
          <w:bCs/>
          <w:color w:val="auto"/>
          <w:sz w:val="32"/>
          <w:szCs w:val="32"/>
        </w:rPr>
        <w:t>（类）</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425.24</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5.72</w:t>
      </w:r>
      <w:r>
        <w:rPr>
          <w:rFonts w:hint="eastAsia" w:ascii="仿宋" w:hAnsi="仿宋" w:eastAsia="仿宋" w:cs="仿宋"/>
          <w:color w:val="auto"/>
          <w:sz w:val="32"/>
          <w:szCs w:val="32"/>
        </w:rPr>
        <w:t>%。</w:t>
      </w:r>
    </w:p>
    <w:p w14:paraId="51B5561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bookmarkStart w:id="89" w:name="_Toc9502_WPSOffice_Level2"/>
      <w:bookmarkStart w:id="90" w:name="_Toc29364_WPSOffice_Level2"/>
      <w:bookmarkStart w:id="91" w:name="_Toc15415_WPSOffice_Level2"/>
      <w:bookmarkStart w:id="92" w:name="_Toc25136_WPSOffice_Level2"/>
      <w:bookmarkStart w:id="93" w:name="_Toc21701_WPSOffice_Level2"/>
      <w:bookmarkStart w:id="94" w:name="_Toc22318_WPSOffice_Level2"/>
      <w:r>
        <w:rPr>
          <w:rFonts w:hint="eastAsia" w:ascii="楷体" w:hAnsi="楷体" w:eastAsia="楷体" w:cs="楷体"/>
          <w:sz w:val="32"/>
          <w:szCs w:val="32"/>
        </w:rPr>
        <w:t>（三）一般公共预算财政拨款支出决算具体情况</w:t>
      </w:r>
      <w:bookmarkEnd w:id="89"/>
      <w:bookmarkEnd w:id="90"/>
      <w:bookmarkEnd w:id="91"/>
      <w:bookmarkEnd w:id="92"/>
      <w:bookmarkEnd w:id="93"/>
      <w:bookmarkEnd w:id="94"/>
    </w:p>
    <w:p w14:paraId="04217A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年度一般公共预算财政拨款支出年</w:t>
      </w:r>
      <w:r>
        <w:rPr>
          <w:rFonts w:hint="eastAsia" w:ascii="仿宋" w:hAnsi="仿宋" w:eastAsia="仿宋" w:cs="仿宋"/>
          <w:color w:val="auto"/>
          <w:sz w:val="32"/>
          <w:szCs w:val="32"/>
        </w:rPr>
        <w:t>初预算为</w:t>
      </w:r>
      <w:r>
        <w:rPr>
          <w:rFonts w:hint="eastAsia" w:ascii="仿宋" w:hAnsi="仿宋" w:eastAsia="仿宋" w:cs="仿宋"/>
          <w:color w:val="auto"/>
          <w:sz w:val="32"/>
          <w:szCs w:val="32"/>
          <w:lang w:val="en-US"/>
        </w:rPr>
        <w:t>7439.69</w:t>
      </w:r>
      <w:r>
        <w:rPr>
          <w:rFonts w:hint="eastAsia" w:ascii="仿宋" w:hAnsi="仿宋" w:eastAsia="仿宋" w:cs="仿宋"/>
          <w:sz w:val="32"/>
          <w:szCs w:val="32"/>
        </w:rPr>
        <w:t>万元，支出决算为</w:t>
      </w:r>
      <w:r>
        <w:rPr>
          <w:rFonts w:hint="eastAsia" w:ascii="仿宋" w:hAnsi="仿宋" w:eastAsia="仿宋" w:cs="仿宋"/>
          <w:color w:val="auto"/>
          <w:sz w:val="32"/>
          <w:szCs w:val="32"/>
          <w:lang w:val="en-US"/>
        </w:rPr>
        <w:t>7439.69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%。其</w:t>
      </w:r>
      <w:r>
        <w:rPr>
          <w:rFonts w:hint="eastAsia" w:ascii="仿宋" w:hAnsi="仿宋" w:eastAsia="仿宋" w:cs="仿宋"/>
          <w:sz w:val="32"/>
          <w:szCs w:val="32"/>
        </w:rPr>
        <w:t>中：</w:t>
      </w:r>
    </w:p>
    <w:p w14:paraId="417CBBF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1.</w:t>
      </w:r>
      <w:r>
        <w:rPr>
          <w:rFonts w:hint="eastAsia" w:ascii="仿宋" w:hAnsi="仿宋" w:eastAsia="仿宋" w:cs="仿宋"/>
          <w:b/>
          <w:color w:val="auto"/>
          <w:sz w:val="32"/>
          <w:szCs w:val="32"/>
        </w:rPr>
        <w:t>公共安全支出（类）</w:t>
      </w:r>
      <w:r>
        <w:rPr>
          <w:rFonts w:hint="eastAsia" w:ascii="仿宋" w:hAnsi="仿宋" w:eastAsia="仿宋" w:cs="仿宋"/>
          <w:b/>
          <w:sz w:val="32"/>
          <w:szCs w:val="32"/>
        </w:rPr>
        <w:t>公安（款）行政运行（项）</w:t>
      </w:r>
    </w:p>
    <w:p w14:paraId="3B81BC1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4160.46</w:t>
      </w:r>
      <w:r>
        <w:rPr>
          <w:rFonts w:hint="eastAsia" w:ascii="仿宋" w:hAnsi="仿宋" w:eastAsia="仿宋" w:cs="仿宋"/>
          <w:sz w:val="32"/>
          <w:szCs w:val="32"/>
        </w:rPr>
        <w:t>万元，支出决算为</w:t>
      </w:r>
      <w:r>
        <w:rPr>
          <w:rFonts w:hint="eastAsia" w:ascii="仿宋" w:hAnsi="仿宋" w:eastAsia="仿宋" w:cs="仿宋"/>
          <w:color w:val="auto"/>
          <w:sz w:val="32"/>
          <w:szCs w:val="32"/>
          <w:lang w:val="en-US"/>
        </w:rPr>
        <w:t>4160.46</w:t>
      </w:r>
      <w:r>
        <w:rPr>
          <w:rFonts w:hint="eastAsia" w:ascii="仿宋" w:hAnsi="仿宋" w:eastAsia="仿宋" w:cs="仿宋"/>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6E80399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rPr>
        <w:t>2.</w:t>
      </w:r>
      <w:r>
        <w:rPr>
          <w:rFonts w:hint="eastAsia" w:ascii="仿宋" w:hAnsi="仿宋" w:eastAsia="仿宋" w:cs="仿宋"/>
          <w:b/>
          <w:color w:val="auto"/>
          <w:sz w:val="32"/>
          <w:szCs w:val="32"/>
        </w:rPr>
        <w:t>公共安全支出（类）</w:t>
      </w:r>
      <w:r>
        <w:rPr>
          <w:rFonts w:hint="eastAsia" w:ascii="仿宋" w:hAnsi="仿宋" w:eastAsia="仿宋" w:cs="仿宋"/>
          <w:b/>
          <w:sz w:val="32"/>
          <w:szCs w:val="32"/>
        </w:rPr>
        <w:t>公安（款）一般行政管理事务（项）</w:t>
      </w:r>
    </w:p>
    <w:p w14:paraId="0B4A47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55.26</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55.26</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08DBFA3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b/>
          <w:color w:val="auto"/>
          <w:sz w:val="32"/>
          <w:szCs w:val="32"/>
        </w:rPr>
        <w:t>公共安全支出（类）</w:t>
      </w:r>
      <w:r>
        <w:rPr>
          <w:rFonts w:hint="eastAsia" w:ascii="仿宋" w:hAnsi="仿宋" w:eastAsia="仿宋" w:cs="仿宋"/>
          <w:b/>
          <w:sz w:val="32"/>
          <w:szCs w:val="32"/>
        </w:rPr>
        <w:t>公安（款）执法办案（项）</w:t>
      </w:r>
    </w:p>
    <w:p w14:paraId="7D251CF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1419.5</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1419.5</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71BFF61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w:t>
      </w:r>
      <w:r>
        <w:rPr>
          <w:rFonts w:hint="eastAsia" w:ascii="仿宋" w:hAnsi="仿宋" w:eastAsia="仿宋" w:cs="仿宋"/>
          <w:b/>
          <w:color w:val="auto"/>
          <w:sz w:val="32"/>
          <w:szCs w:val="32"/>
        </w:rPr>
        <w:t>公共安全支出（类）</w:t>
      </w:r>
      <w:r>
        <w:rPr>
          <w:rFonts w:hint="eastAsia" w:ascii="仿宋" w:hAnsi="仿宋" w:eastAsia="仿宋" w:cs="仿宋"/>
          <w:b/>
          <w:sz w:val="32"/>
          <w:szCs w:val="32"/>
        </w:rPr>
        <w:t>公安（款）特别业务（项）</w:t>
      </w:r>
    </w:p>
    <w:p w14:paraId="76D077B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5</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5</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2174636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b/>
          <w:color w:val="auto"/>
          <w:sz w:val="32"/>
          <w:szCs w:val="32"/>
        </w:rPr>
        <w:t>公共安全支出（类）</w:t>
      </w:r>
      <w:r>
        <w:rPr>
          <w:rFonts w:hint="eastAsia" w:ascii="仿宋" w:hAnsi="仿宋" w:eastAsia="仿宋" w:cs="仿宋"/>
          <w:b/>
          <w:sz w:val="32"/>
          <w:szCs w:val="32"/>
        </w:rPr>
        <w:t>公安（款）其他公安支出（项）</w:t>
      </w:r>
    </w:p>
    <w:p w14:paraId="4ABFC1D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190.36</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190.36</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374EAF6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b/>
          <w:color w:val="auto"/>
          <w:sz w:val="32"/>
          <w:szCs w:val="32"/>
        </w:rPr>
        <w:t>社会保障和就业支出（类）</w:t>
      </w:r>
      <w:r>
        <w:rPr>
          <w:rFonts w:hint="eastAsia" w:ascii="仿宋" w:hAnsi="仿宋" w:eastAsia="仿宋" w:cs="仿宋"/>
          <w:b/>
          <w:sz w:val="32"/>
          <w:szCs w:val="32"/>
        </w:rPr>
        <w:t>行政事业单位养老支出（款）机关事业单位基本养老保险缴费支出（项）</w:t>
      </w:r>
    </w:p>
    <w:p w14:paraId="54C87A8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407.79</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407.79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54E68DC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w:t>
      </w:r>
      <w:r>
        <w:rPr>
          <w:rFonts w:hint="eastAsia" w:ascii="仿宋" w:hAnsi="仿宋" w:eastAsia="仿宋" w:cs="仿宋"/>
          <w:b/>
          <w:color w:val="auto"/>
          <w:sz w:val="32"/>
          <w:szCs w:val="32"/>
        </w:rPr>
        <w:t>社会保障和就业支出（类）</w:t>
      </w:r>
      <w:r>
        <w:rPr>
          <w:rFonts w:hint="eastAsia" w:ascii="仿宋" w:hAnsi="仿宋" w:eastAsia="仿宋" w:cs="仿宋"/>
          <w:b/>
          <w:sz w:val="32"/>
          <w:szCs w:val="32"/>
        </w:rPr>
        <w:t>行政事业单位养老支出（款）机关事业单位职业年金缴费支出（项）</w:t>
      </w:r>
    </w:p>
    <w:p w14:paraId="4794BF4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247.21</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247.21</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1D99636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w:t>
      </w:r>
      <w:r>
        <w:rPr>
          <w:rFonts w:hint="eastAsia" w:ascii="仿宋" w:hAnsi="仿宋" w:eastAsia="仿宋" w:cs="仿宋"/>
          <w:b/>
          <w:color w:val="auto"/>
          <w:sz w:val="32"/>
          <w:szCs w:val="32"/>
        </w:rPr>
        <w:t>卫生健康支出（类）</w:t>
      </w:r>
      <w:r>
        <w:rPr>
          <w:rFonts w:hint="eastAsia" w:ascii="仿宋" w:hAnsi="仿宋" w:eastAsia="仿宋" w:cs="仿宋"/>
          <w:b/>
          <w:sz w:val="32"/>
          <w:szCs w:val="32"/>
        </w:rPr>
        <w:t>行政事业单位医疗（款）行政单位医疗（项）</w:t>
      </w:r>
    </w:p>
    <w:p w14:paraId="38E07C8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145.94</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145.94</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4FB08BC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w:t>
      </w:r>
      <w:r>
        <w:rPr>
          <w:rFonts w:hint="eastAsia" w:ascii="仿宋" w:hAnsi="仿宋" w:eastAsia="仿宋" w:cs="仿宋"/>
          <w:b/>
          <w:color w:val="auto"/>
          <w:sz w:val="32"/>
          <w:szCs w:val="32"/>
        </w:rPr>
        <w:t>卫生健康支出（类）</w:t>
      </w:r>
      <w:r>
        <w:rPr>
          <w:rFonts w:hint="eastAsia" w:ascii="仿宋" w:hAnsi="仿宋" w:eastAsia="仿宋" w:cs="仿宋"/>
          <w:b/>
          <w:sz w:val="32"/>
          <w:szCs w:val="32"/>
        </w:rPr>
        <w:t>行政事业单位医疗（款）公务员医疗补助（项）</w:t>
      </w:r>
    </w:p>
    <w:p w14:paraId="7661420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382.94</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382.94</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5E9CE15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w:t>
      </w:r>
      <w:r>
        <w:rPr>
          <w:rFonts w:hint="eastAsia" w:ascii="仿宋" w:hAnsi="仿宋" w:eastAsia="仿宋" w:cs="仿宋"/>
          <w:b/>
          <w:color w:val="auto"/>
          <w:sz w:val="32"/>
          <w:szCs w:val="32"/>
        </w:rPr>
        <w:t>住房保障支出（类）</w:t>
      </w:r>
      <w:r>
        <w:rPr>
          <w:rFonts w:hint="eastAsia" w:ascii="仿宋" w:hAnsi="仿宋" w:eastAsia="仿宋" w:cs="仿宋"/>
          <w:b/>
          <w:sz w:val="32"/>
          <w:szCs w:val="32"/>
        </w:rPr>
        <w:t>住房改革支出（款）住房公积金（项）</w:t>
      </w:r>
    </w:p>
    <w:p w14:paraId="436F664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rPr>
        <w:t>年初预算为</w:t>
      </w:r>
      <w:r>
        <w:rPr>
          <w:rFonts w:hint="eastAsia" w:ascii="仿宋" w:hAnsi="仿宋" w:eastAsia="仿宋" w:cs="仿宋"/>
          <w:color w:val="auto"/>
          <w:sz w:val="32"/>
          <w:szCs w:val="32"/>
          <w:lang w:val="en-US"/>
        </w:rPr>
        <w:t>425.24</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425.24</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14:paraId="3CA8F8D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（注：本部分支出决算数可取自财决公开05表，年初预算数可取自各</w:t>
      </w:r>
      <w:r>
        <w:rPr>
          <w:rFonts w:hint="eastAsia" w:ascii="仿宋" w:hAnsi="仿宋" w:eastAsia="仿宋" w:cs="仿宋"/>
          <w:sz w:val="32"/>
          <w:szCs w:val="32"/>
          <w:lang w:val="en-US" w:eastAsia="zh-CN"/>
        </w:rPr>
        <w:t>预算</w:t>
      </w:r>
      <w:r>
        <w:rPr>
          <w:rFonts w:hint="eastAsia" w:ascii="仿宋" w:hAnsi="仿宋" w:eastAsia="仿宋" w:cs="仿宋"/>
          <w:sz w:val="32"/>
          <w:szCs w:val="32"/>
        </w:rPr>
        <w:t>部门</w:t>
      </w:r>
      <w:r>
        <w:rPr>
          <w:rFonts w:hint="eastAsia" w:ascii="仿宋" w:hAnsi="仿宋" w:eastAsia="仿宋" w:cs="仿宋"/>
          <w:sz w:val="32"/>
          <w:szCs w:val="32"/>
          <w:lang w:eastAsia="zh-CN"/>
        </w:rPr>
        <w:t>、</w:t>
      </w:r>
      <w:r>
        <w:rPr>
          <w:rFonts w:hint="eastAsia" w:ascii="仿宋" w:hAnsi="仿宋" w:eastAsia="仿宋" w:cs="仿宋"/>
          <w:sz w:val="32"/>
          <w:szCs w:val="32"/>
        </w:rPr>
        <w:t>单位年初预算大本，根据实际支出涉及的支出功能分类项级科目填列</w:t>
      </w:r>
      <w:r>
        <w:rPr>
          <w:rFonts w:hint="eastAsia" w:ascii="仿宋" w:hAnsi="仿宋" w:eastAsia="仿宋" w:cs="仿宋"/>
          <w:sz w:val="32"/>
          <w:szCs w:val="32"/>
          <w:lang w:eastAsia="zh-CN"/>
        </w:rPr>
        <w:t>。</w:t>
      </w:r>
      <w:r>
        <w:rPr>
          <w:rFonts w:hint="eastAsia" w:ascii="仿宋" w:hAnsi="仿宋" w:eastAsia="仿宋" w:cs="仿宋"/>
          <w:sz w:val="32"/>
          <w:szCs w:val="32"/>
        </w:rPr>
        <w:t>）</w:t>
      </w:r>
    </w:p>
    <w:p w14:paraId="6EAB98C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六、一般公共预算财政拨款基本支出决算情况说明</w:t>
      </w:r>
    </w:p>
    <w:p w14:paraId="330A779A">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年度财政拨款基本支出</w:t>
      </w:r>
      <w:r>
        <w:rPr>
          <w:rFonts w:hint="eastAsia" w:ascii="仿宋" w:hAnsi="仿宋" w:eastAsia="仿宋" w:cs="仿宋"/>
          <w:color w:val="auto"/>
          <w:sz w:val="32"/>
          <w:szCs w:val="32"/>
          <w:lang w:val="en-US"/>
        </w:rPr>
        <w:t>5769.57</w:t>
      </w:r>
      <w:r>
        <w:rPr>
          <w:rFonts w:hint="eastAsia" w:ascii="仿宋" w:hAnsi="仿宋" w:eastAsia="仿宋" w:cs="仿宋"/>
          <w:color w:val="auto"/>
          <w:sz w:val="32"/>
          <w:szCs w:val="32"/>
        </w:rPr>
        <w:t>万元，其中：人员经费</w:t>
      </w:r>
      <w:r>
        <w:rPr>
          <w:rFonts w:hint="eastAsia" w:ascii="仿宋" w:hAnsi="仿宋" w:eastAsia="仿宋" w:cs="仿宋"/>
          <w:color w:val="auto"/>
          <w:sz w:val="32"/>
          <w:szCs w:val="32"/>
          <w:lang w:val="en-US"/>
        </w:rPr>
        <w:t>5210.51</w:t>
      </w:r>
      <w:r>
        <w:rPr>
          <w:rFonts w:hint="eastAsia" w:ascii="仿宋" w:hAnsi="仿宋" w:eastAsia="仿宋" w:cs="仿宋"/>
          <w:color w:val="auto"/>
          <w:sz w:val="32"/>
          <w:szCs w:val="32"/>
        </w:rPr>
        <w:t>万元，主要包括：工资福</w:t>
      </w:r>
      <w:r>
        <w:rPr>
          <w:rFonts w:hint="eastAsia" w:ascii="仿宋" w:hAnsi="仿宋" w:eastAsia="仿宋" w:cs="仿宋"/>
          <w:sz w:val="32"/>
          <w:szCs w:val="32"/>
        </w:rPr>
        <w:t>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w:t>
      </w:r>
      <w:r>
        <w:rPr>
          <w:rFonts w:hint="eastAsia" w:ascii="仿宋" w:hAnsi="仿宋" w:eastAsia="仿宋" w:cs="仿宋"/>
          <w:color w:val="auto"/>
          <w:sz w:val="32"/>
          <w:szCs w:val="32"/>
        </w:rPr>
        <w:t>费</w:t>
      </w:r>
      <w:r>
        <w:rPr>
          <w:rFonts w:hint="eastAsia" w:ascii="仿宋" w:hAnsi="仿宋" w:eastAsia="仿宋" w:cs="仿宋"/>
          <w:color w:val="auto"/>
          <w:sz w:val="32"/>
          <w:szCs w:val="32"/>
          <w:lang w:val="en-US"/>
        </w:rPr>
        <w:t>559.06</w:t>
      </w:r>
      <w:r>
        <w:rPr>
          <w:rFonts w:hint="eastAsia" w:ascii="仿宋" w:hAnsi="仿宋" w:eastAsia="仿宋" w:cs="仿宋"/>
          <w:color w:val="auto"/>
          <w:sz w:val="32"/>
          <w:szCs w:val="32"/>
        </w:rPr>
        <w:t>万</w:t>
      </w:r>
      <w:r>
        <w:rPr>
          <w:rFonts w:hint="eastAsia" w:ascii="仿宋" w:hAnsi="仿宋" w:eastAsia="仿宋" w:cs="仿宋"/>
          <w:sz w:val="32"/>
          <w:szCs w:val="32"/>
        </w:rPr>
        <w:t>元，主要包括：</w:t>
      </w:r>
      <w:r>
        <w:rPr>
          <w:rFonts w:hint="eastAsia" w:ascii="仿宋" w:hAnsi="仿宋" w:eastAsia="仿宋" w:cs="仿宋"/>
          <w:sz w:val="32"/>
          <w:szCs w:val="32"/>
          <w:highlight w:val="none"/>
        </w:rPr>
        <w:t>主要包括：商品和服务支出中的办公费、印刷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w:t>
      </w:r>
      <w:r>
        <w:rPr>
          <w:rFonts w:hint="eastAsia" w:ascii="仿宋" w:hAnsi="仿宋" w:eastAsia="仿宋" w:cs="仿宋"/>
          <w:sz w:val="32"/>
          <w:szCs w:val="32"/>
          <w:highlight w:val="none"/>
          <w:lang w:eastAsia="zh-CN"/>
        </w:rPr>
        <w:t>购</w:t>
      </w:r>
      <w:r>
        <w:rPr>
          <w:rFonts w:hint="eastAsia" w:ascii="仿宋" w:hAnsi="仿宋" w:eastAsia="仿宋" w:cs="仿宋"/>
          <w:sz w:val="32"/>
          <w:szCs w:val="32"/>
          <w:highlight w:val="none"/>
        </w:rPr>
        <w:t>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14:paraId="7241B08A">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14:paraId="643B855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（一）政府性基金预算财政拨款支出决算总体情况</w:t>
      </w:r>
    </w:p>
    <w:p w14:paraId="0E502A0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万元，占本年支出合计的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w:t>
      </w:r>
      <w:r>
        <w:rPr>
          <w:rFonts w:hint="eastAsia" w:ascii="仿宋" w:hAnsi="仿宋" w:eastAsia="仿宋" w:cs="仿宋"/>
          <w:color w:val="auto"/>
          <w:sz w:val="32"/>
          <w:szCs w:val="32"/>
          <w:lang w:val="en-US" w:eastAsia="zh-CN"/>
        </w:rPr>
        <w:t>持平</w:t>
      </w:r>
      <w:r>
        <w:rPr>
          <w:rFonts w:hint="eastAsia" w:ascii="仿宋" w:hAnsi="仿宋" w:eastAsia="仿宋" w:cs="仿宋"/>
          <w:color w:val="auto"/>
          <w:sz w:val="32"/>
          <w:szCs w:val="32"/>
        </w:rPr>
        <w:t>。</w:t>
      </w:r>
    </w:p>
    <w:p w14:paraId="06BD91A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（二）政府性基金预算财政拨款支出决算结构情况</w:t>
      </w:r>
    </w:p>
    <w:p w14:paraId="2C2E1EC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年度政府性基金预算财政拨款支出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r>
        <w:rPr>
          <w:rFonts w:hint="eastAsia" w:ascii="仿宋" w:hAnsi="仿宋" w:eastAsia="仿宋" w:cs="仿宋"/>
          <w:sz w:val="32"/>
          <w:szCs w:val="32"/>
        </w:rPr>
        <w:t>，</w:t>
      </w:r>
      <w:r>
        <w:rPr>
          <w:rFonts w:hint="eastAsia" w:ascii="仿宋" w:hAnsi="仿宋" w:eastAsia="仿宋" w:cs="仿宋"/>
          <w:color w:val="auto"/>
          <w:sz w:val="32"/>
          <w:szCs w:val="32"/>
        </w:rPr>
        <w:t>占本年支出合计的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w:t>
      </w:r>
      <w:r>
        <w:rPr>
          <w:rFonts w:hint="eastAsia" w:ascii="仿宋" w:hAnsi="仿宋" w:eastAsia="仿宋" w:cs="仿宋"/>
          <w:color w:val="auto"/>
          <w:sz w:val="32"/>
          <w:szCs w:val="32"/>
          <w:lang w:val="en-US" w:eastAsia="zh-CN"/>
        </w:rPr>
        <w:t>持平</w:t>
      </w:r>
      <w:r>
        <w:rPr>
          <w:rFonts w:hint="eastAsia" w:ascii="仿宋" w:hAnsi="仿宋" w:eastAsia="仿宋" w:cs="仿宋"/>
          <w:color w:val="auto"/>
          <w:sz w:val="32"/>
          <w:szCs w:val="32"/>
        </w:rPr>
        <w:t>。</w:t>
      </w:r>
    </w:p>
    <w:p w14:paraId="2AA5798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（三）政府性基金预算财政拨款支出决算具体情况</w:t>
      </w:r>
    </w:p>
    <w:p w14:paraId="71CEE77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年度政府性基金预算财政拨款支出年初预算为</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p>
    <w:p w14:paraId="101E92BC">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14:paraId="1600908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（一）国有资本经营预算财政拨款支出决算总体情况</w:t>
      </w:r>
    </w:p>
    <w:p w14:paraId="5E6A223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年度国有资本经营预算财政拨款支出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r>
        <w:rPr>
          <w:rFonts w:hint="eastAsia" w:ascii="仿宋" w:hAnsi="仿宋" w:eastAsia="仿宋" w:cs="仿宋"/>
          <w:sz w:val="32"/>
          <w:szCs w:val="32"/>
        </w:rPr>
        <w:t>，</w:t>
      </w:r>
      <w:r>
        <w:rPr>
          <w:rFonts w:hint="eastAsia" w:ascii="仿宋" w:hAnsi="仿宋" w:eastAsia="仿宋" w:cs="仿宋"/>
          <w:color w:val="auto"/>
          <w:sz w:val="32"/>
          <w:szCs w:val="32"/>
        </w:rPr>
        <w:t>占本年支出合计的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w:t>
      </w:r>
      <w:r>
        <w:rPr>
          <w:rFonts w:hint="eastAsia" w:ascii="仿宋" w:hAnsi="仿宋" w:eastAsia="仿宋" w:cs="仿宋"/>
          <w:color w:val="auto"/>
          <w:sz w:val="32"/>
          <w:szCs w:val="32"/>
          <w:lang w:val="en-US" w:eastAsia="zh-CN"/>
        </w:rPr>
        <w:t>持平</w:t>
      </w:r>
      <w:r>
        <w:rPr>
          <w:rFonts w:hint="eastAsia" w:ascii="仿宋" w:hAnsi="仿宋" w:eastAsia="仿宋" w:cs="仿宋"/>
          <w:color w:val="auto"/>
          <w:sz w:val="32"/>
          <w:szCs w:val="32"/>
        </w:rPr>
        <w:t>。</w:t>
      </w:r>
    </w:p>
    <w:p w14:paraId="7F0C568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（二）国有资本经营预算财政拨款支出决算结构情况</w:t>
      </w:r>
    </w:p>
    <w:p w14:paraId="5EC88ED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年度国有资本经营预算财政拨款支出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w:t>
      </w:r>
      <w:r>
        <w:rPr>
          <w:rFonts w:hint="eastAsia" w:ascii="仿宋" w:hAnsi="仿宋" w:eastAsia="仿宋" w:cs="仿宋"/>
          <w:sz w:val="32"/>
          <w:szCs w:val="32"/>
        </w:rPr>
        <w:t>，</w:t>
      </w:r>
      <w:r>
        <w:rPr>
          <w:rFonts w:hint="eastAsia" w:ascii="仿宋" w:hAnsi="仿宋" w:eastAsia="仿宋" w:cs="仿宋"/>
          <w:color w:val="auto"/>
          <w:sz w:val="32"/>
          <w:szCs w:val="32"/>
        </w:rPr>
        <w:t>占本年支出合计的</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w:t>
      </w:r>
      <w:r>
        <w:rPr>
          <w:rFonts w:hint="eastAsia" w:ascii="仿宋" w:hAnsi="仿宋" w:eastAsia="仿宋" w:cs="仿宋"/>
          <w:color w:val="auto"/>
          <w:sz w:val="32"/>
          <w:szCs w:val="32"/>
          <w:lang w:val="en-US" w:eastAsia="zh-CN"/>
        </w:rPr>
        <w:t>持平</w:t>
      </w:r>
      <w:r>
        <w:rPr>
          <w:rFonts w:hint="eastAsia" w:ascii="仿宋" w:hAnsi="仿宋" w:eastAsia="仿宋" w:cs="仿宋"/>
          <w:color w:val="auto"/>
          <w:sz w:val="32"/>
          <w:szCs w:val="32"/>
        </w:rPr>
        <w:t>。</w:t>
      </w:r>
    </w:p>
    <w:p w14:paraId="6DA2D67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（三）国有资本经营预算财政拨款支出决算具体情况</w:t>
      </w:r>
    </w:p>
    <w:p w14:paraId="74489D4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年度国有资本经营预算财政拨款支</w:t>
      </w:r>
      <w:r>
        <w:rPr>
          <w:rFonts w:hint="eastAsia" w:ascii="仿宋" w:hAnsi="仿宋" w:eastAsia="仿宋" w:cs="仿宋"/>
          <w:color w:val="auto"/>
          <w:sz w:val="32"/>
          <w:szCs w:val="32"/>
        </w:rPr>
        <w:t>出年初预算为</w:t>
      </w:r>
      <w:r>
        <w:rPr>
          <w:rFonts w:hint="eastAsia" w:ascii="仿宋" w:hAnsi="仿宋" w:eastAsia="仿宋" w:cs="仿宋"/>
          <w:color w:val="auto"/>
          <w:sz w:val="32"/>
          <w:szCs w:val="32"/>
          <w:lang w:val="en-US" w:eastAsia="zh-CN"/>
        </w:rPr>
        <w:t>0.00</w:t>
      </w:r>
      <w:r>
        <w:rPr>
          <w:rFonts w:hint="eastAsia" w:ascii="仿宋" w:hAnsi="仿宋" w:eastAsia="仿宋" w:cs="仿宋"/>
          <w:sz w:val="32"/>
          <w:szCs w:val="32"/>
        </w:rPr>
        <w:t>万元，支出决算</w:t>
      </w:r>
      <w:r>
        <w:rPr>
          <w:rFonts w:hint="eastAsia" w:ascii="仿宋" w:hAnsi="仿宋" w:eastAsia="仿宋" w:cs="仿宋"/>
          <w:color w:val="auto"/>
          <w:sz w:val="32"/>
          <w:szCs w:val="32"/>
        </w:rPr>
        <w:t>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w:t>
      </w:r>
      <w:r>
        <w:rPr>
          <w:rFonts w:hint="eastAsia" w:ascii="仿宋" w:hAnsi="仿宋" w:eastAsia="仿宋" w:cs="仿宋"/>
          <w:color w:val="auto"/>
          <w:sz w:val="32"/>
          <w:szCs w:val="32"/>
          <w:lang w:val="en-US" w:eastAsia="zh-CN"/>
        </w:rPr>
        <w:t>持平</w:t>
      </w:r>
      <w:r>
        <w:rPr>
          <w:rFonts w:hint="eastAsia" w:ascii="仿宋" w:hAnsi="仿宋" w:eastAsia="仿宋" w:cs="仿宋"/>
          <w:color w:val="auto"/>
          <w:sz w:val="32"/>
          <w:szCs w:val="32"/>
        </w:rPr>
        <w:t>。</w:t>
      </w:r>
    </w:p>
    <w:p w14:paraId="5834EC2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楷体_GB2312"/>
          <w:sz w:val="32"/>
          <w:szCs w:val="32"/>
        </w:rPr>
      </w:pPr>
      <w:r>
        <w:rPr>
          <w:rFonts w:hint="eastAsia" w:ascii="黑体" w:hAnsi="黑体" w:eastAsia="黑体" w:cs="黑体"/>
          <w:bCs/>
          <w:sz w:val="32"/>
          <w:szCs w:val="32"/>
        </w:rPr>
        <w:t>九、财政拨款“三公”经费支出决算情况说明</w:t>
      </w:r>
    </w:p>
    <w:p w14:paraId="18F9E7F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14:paraId="1367A2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w:t>
      </w:r>
      <w:r>
        <w:rPr>
          <w:rFonts w:hint="eastAsia" w:ascii="仿宋" w:hAnsi="仿宋" w:eastAsia="仿宋" w:cs="仿宋"/>
          <w:color w:val="auto"/>
          <w:sz w:val="32"/>
          <w:szCs w:val="32"/>
        </w:rPr>
        <w:t>三公”经费支出预算为</w:t>
      </w:r>
      <w:r>
        <w:rPr>
          <w:rFonts w:hint="eastAsia" w:ascii="仿宋" w:hAnsi="仿宋" w:eastAsia="仿宋" w:cs="仿宋"/>
          <w:color w:val="auto"/>
          <w:sz w:val="32"/>
          <w:szCs w:val="32"/>
          <w:lang w:val="en-US"/>
        </w:rPr>
        <w:t>31.70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rPr>
        <w:t>19.37</w:t>
      </w:r>
      <w:r>
        <w:rPr>
          <w:rFonts w:hint="eastAsia" w:ascii="仿宋" w:hAnsi="仿宋" w:eastAsia="仿宋" w:cs="仿宋"/>
          <w:color w:val="auto"/>
          <w:sz w:val="32"/>
          <w:szCs w:val="32"/>
        </w:rPr>
        <w:t>万元，完成预算的</w:t>
      </w:r>
      <w:r>
        <w:rPr>
          <w:rFonts w:hint="eastAsia" w:ascii="仿宋" w:hAnsi="仿宋" w:eastAsia="仿宋" w:cs="仿宋"/>
          <w:color w:val="auto"/>
          <w:sz w:val="32"/>
          <w:szCs w:val="32"/>
          <w:lang w:val="en-US" w:eastAsia="zh-CN"/>
        </w:rPr>
        <w:t>61.10</w:t>
      </w:r>
      <w:r>
        <w:rPr>
          <w:rFonts w:hint="eastAsia" w:ascii="仿宋" w:hAnsi="仿宋" w:eastAsia="仿宋" w:cs="仿宋"/>
          <w:color w:val="auto"/>
          <w:sz w:val="32"/>
          <w:szCs w:val="32"/>
        </w:rPr>
        <w:t>%，与</w:t>
      </w:r>
      <w:r>
        <w:rPr>
          <w:rFonts w:hint="eastAsia" w:ascii="仿宋" w:hAnsi="仿宋" w:eastAsia="仿宋" w:cs="仿宋"/>
          <w:color w:val="auto"/>
          <w:sz w:val="32"/>
          <w:szCs w:val="32"/>
          <w:lang w:val="en-US"/>
        </w:rPr>
        <w:t>2024</w:t>
      </w:r>
      <w:r>
        <w:rPr>
          <w:rFonts w:hint="eastAsia" w:ascii="仿宋" w:hAnsi="仿宋" w:eastAsia="仿宋" w:cs="仿宋"/>
          <w:color w:val="auto"/>
          <w:sz w:val="32"/>
          <w:szCs w:val="32"/>
        </w:rPr>
        <w:t>年度相比，“三公”经费支出减少</w:t>
      </w:r>
      <w:r>
        <w:rPr>
          <w:rFonts w:hint="eastAsia" w:ascii="仿宋" w:hAnsi="仿宋" w:eastAsia="仿宋" w:cs="仿宋"/>
          <w:color w:val="auto"/>
          <w:sz w:val="32"/>
          <w:szCs w:val="32"/>
          <w:lang w:val="en-US" w:eastAsia="zh-CN"/>
        </w:rPr>
        <w:t>11.09</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35.36</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基层执法出警车辆到年限报废未能及时新购，新能源车的投入使用减少了大部分执法执勤车辆的能耗费用</w:t>
      </w:r>
      <w:r>
        <w:rPr>
          <w:rFonts w:hint="eastAsia" w:ascii="仿宋" w:hAnsi="仿宋" w:eastAsia="仿宋" w:cs="仿宋"/>
          <w:color w:val="auto"/>
          <w:sz w:val="32"/>
          <w:szCs w:val="32"/>
        </w:rPr>
        <w:t>。</w:t>
      </w:r>
    </w:p>
    <w:p w14:paraId="0787B19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sz w:val="32"/>
          <w:szCs w:val="32"/>
        </w:rPr>
      </w:pPr>
      <w:r>
        <w:rPr>
          <w:rFonts w:hint="eastAsia" w:ascii="楷体" w:hAnsi="楷体" w:eastAsia="楷体" w:cs="楷体"/>
          <w:color w:val="auto"/>
          <w:sz w:val="32"/>
          <w:szCs w:val="32"/>
        </w:rPr>
        <w:t>（二）财政拨款“三公”经费</w:t>
      </w:r>
      <w:r>
        <w:rPr>
          <w:rFonts w:hint="eastAsia" w:ascii="楷体" w:hAnsi="楷体" w:eastAsia="楷体" w:cs="楷体"/>
          <w:sz w:val="32"/>
          <w:szCs w:val="32"/>
        </w:rPr>
        <w:t>支出决算具体情况说明</w:t>
      </w:r>
    </w:p>
    <w:p w14:paraId="7B26A5C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sz w:val="32"/>
          <w:szCs w:val="32"/>
          <w:lang w:val="en-US"/>
        </w:rPr>
        <w:t>2025</w:t>
      </w:r>
      <w:r>
        <w:rPr>
          <w:rFonts w:hint="eastAsia" w:ascii="仿宋" w:hAnsi="仿宋" w:eastAsia="仿宋" w:cs="仿宋"/>
          <w:sz w:val="32"/>
          <w:szCs w:val="32"/>
        </w:rPr>
        <w:t>年度财政拨款“三公”经费支出决算中，因公出国（境）费</w:t>
      </w:r>
      <w:r>
        <w:rPr>
          <w:rFonts w:hint="eastAsia" w:ascii="仿宋" w:hAnsi="仿宋" w:eastAsia="仿宋" w:cs="仿宋"/>
          <w:sz w:val="32"/>
          <w:szCs w:val="32"/>
          <w:lang w:val="en-US" w:eastAsia="zh-CN"/>
        </w:rPr>
        <w:t>用</w:t>
      </w:r>
      <w:r>
        <w:rPr>
          <w:rFonts w:hint="eastAsia" w:ascii="仿宋" w:hAnsi="仿宋" w:eastAsia="仿宋" w:cs="仿宋"/>
          <w:sz w:val="32"/>
          <w:szCs w:val="32"/>
        </w:rPr>
        <w:t>支出决</w:t>
      </w:r>
      <w:r>
        <w:rPr>
          <w:rFonts w:hint="eastAsia" w:ascii="仿宋" w:hAnsi="仿宋" w:eastAsia="仿宋" w:cs="仿宋"/>
          <w:color w:val="auto"/>
          <w:sz w:val="32"/>
          <w:szCs w:val="32"/>
        </w:rPr>
        <w:t>算</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%；公务用车购置及运行维护费支出决算</w:t>
      </w:r>
      <w:r>
        <w:rPr>
          <w:rFonts w:hint="eastAsia" w:ascii="仿宋" w:hAnsi="仿宋" w:eastAsia="仿宋" w:cs="仿宋"/>
          <w:color w:val="auto"/>
          <w:sz w:val="32"/>
          <w:szCs w:val="32"/>
          <w:lang w:val="en-US"/>
        </w:rPr>
        <w:t>19.37</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61.10</w:t>
      </w:r>
      <w:r>
        <w:rPr>
          <w:rFonts w:hint="eastAsia" w:ascii="仿宋" w:hAnsi="仿宋" w:eastAsia="仿宋" w:cs="仿宋"/>
          <w:color w:val="auto"/>
          <w:sz w:val="32"/>
          <w:szCs w:val="32"/>
        </w:rPr>
        <w:t>%；公务接待费支出决算</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万元，占</w:t>
      </w:r>
      <w:r>
        <w:rPr>
          <w:rFonts w:hint="eastAsia" w:ascii="仿宋" w:hAnsi="仿宋" w:eastAsia="仿宋" w:cs="仿宋"/>
          <w:color w:val="auto"/>
          <w:sz w:val="32"/>
          <w:szCs w:val="32"/>
          <w:lang w:val="en-US" w:eastAsia="zh-CN"/>
        </w:rPr>
        <w:t>0.00</w:t>
      </w:r>
      <w:r>
        <w:rPr>
          <w:rFonts w:hint="eastAsia" w:ascii="仿宋" w:hAnsi="仿宋" w:eastAsia="仿宋" w:cs="仿宋"/>
          <w:color w:val="auto"/>
          <w:sz w:val="32"/>
          <w:szCs w:val="32"/>
        </w:rPr>
        <w:t>%。具体情况如下：</w:t>
      </w:r>
    </w:p>
    <w:p w14:paraId="732BBD56">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1.因公出国（境）费</w:t>
      </w:r>
      <w:r>
        <w:rPr>
          <w:rFonts w:hint="eastAsia" w:ascii="仿宋" w:hAnsi="仿宋" w:eastAsia="仿宋" w:cs="仿宋"/>
          <w:b/>
          <w:sz w:val="32"/>
          <w:szCs w:val="32"/>
          <w:lang w:val="en-US" w:eastAsia="zh-CN"/>
        </w:rPr>
        <w:t>用</w:t>
      </w:r>
      <w:r>
        <w:rPr>
          <w:rFonts w:hint="eastAsia" w:ascii="仿宋" w:hAnsi="仿宋" w:eastAsia="仿宋" w:cs="仿宋"/>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万元。全年安排因公出国（境）团组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个，因公出国（境）</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人次</w:t>
      </w:r>
      <w:r>
        <w:rPr>
          <w:rFonts w:hint="eastAsia" w:ascii="仿宋" w:hAnsi="仿宋" w:eastAsia="仿宋" w:cs="仿宋"/>
          <w:sz w:val="32"/>
          <w:szCs w:val="32"/>
        </w:rPr>
        <w:t>。因公出国（境）费</w:t>
      </w:r>
      <w:r>
        <w:rPr>
          <w:rFonts w:hint="eastAsia" w:ascii="仿宋" w:hAnsi="仿宋" w:eastAsia="仿宋" w:cs="仿宋"/>
          <w:sz w:val="32"/>
          <w:szCs w:val="32"/>
          <w:lang w:val="en-US" w:eastAsia="zh-CN"/>
        </w:rPr>
        <w:t>用</w:t>
      </w:r>
      <w:r>
        <w:rPr>
          <w:rFonts w:hint="eastAsia" w:ascii="仿宋" w:hAnsi="仿宋" w:eastAsia="仿宋" w:cs="仿宋"/>
          <w:sz w:val="32"/>
          <w:szCs w:val="32"/>
        </w:rPr>
        <w:t>支出决算</w:t>
      </w:r>
      <w:r>
        <w:rPr>
          <w:rFonts w:hint="eastAsia" w:ascii="仿宋" w:hAnsi="仿宋" w:eastAsia="仿宋" w:cs="仿宋"/>
          <w:sz w:val="32"/>
          <w:szCs w:val="32"/>
          <w:lang w:val="en-US" w:eastAsia="zh-CN"/>
        </w:rPr>
        <w:t>数</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w:t>
      </w:r>
      <w:r>
        <w:rPr>
          <w:rFonts w:hint="eastAsia" w:ascii="仿宋" w:hAnsi="仿宋" w:eastAsia="仿宋" w:cs="仿宋"/>
          <w:sz w:val="32"/>
          <w:szCs w:val="32"/>
          <w:lang w:val="en-US" w:eastAsia="zh-CN"/>
        </w:rPr>
        <w:t>持平</w:t>
      </w:r>
      <w:r>
        <w:rPr>
          <w:rFonts w:hint="eastAsia" w:ascii="仿宋" w:hAnsi="仿宋" w:eastAsia="仿宋" w:cs="仿宋"/>
          <w:sz w:val="32"/>
          <w:szCs w:val="32"/>
        </w:rPr>
        <w:t>。</w:t>
      </w:r>
    </w:p>
    <w:p w14:paraId="7772B67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sz w:val="32"/>
          <w:szCs w:val="32"/>
        </w:rPr>
        <w:t>2.公务用车购置及运行维护费</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19.37</w:t>
      </w:r>
      <w:r>
        <w:rPr>
          <w:rFonts w:hint="eastAsia" w:ascii="仿宋" w:hAnsi="仿宋" w:eastAsia="仿宋" w:cs="仿宋"/>
          <w:color w:val="auto"/>
          <w:sz w:val="32"/>
          <w:szCs w:val="32"/>
        </w:rPr>
        <w:t>万元。其中：</w:t>
      </w:r>
    </w:p>
    <w:p w14:paraId="0BB159CD">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color w:val="auto"/>
          <w:sz w:val="32"/>
          <w:szCs w:val="32"/>
        </w:rPr>
        <w:t>公务用车购置</w:t>
      </w:r>
      <w:r>
        <w:rPr>
          <w:rFonts w:hint="eastAsia" w:ascii="仿宋" w:hAnsi="仿宋" w:eastAsia="仿宋" w:cs="仿宋"/>
          <w:b w:val="0"/>
          <w:bCs/>
          <w:color w:val="auto"/>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color w:val="auto"/>
          <w:sz w:val="32"/>
          <w:szCs w:val="32"/>
        </w:rPr>
        <w:t>万元，全年购置公务用车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辆，主要用于</w:t>
      </w:r>
      <w:r>
        <w:rPr>
          <w:rFonts w:hint="eastAsia" w:ascii="仿宋" w:hAnsi="仿宋" w:eastAsia="仿宋" w:cs="仿宋"/>
          <w:color w:val="auto"/>
          <w:sz w:val="32"/>
          <w:szCs w:val="32"/>
          <w:lang w:val="en-US" w:eastAsia="zh-CN"/>
        </w:rPr>
        <w:t>基层所队执法执勤</w:t>
      </w:r>
      <w:r>
        <w:rPr>
          <w:rFonts w:hint="eastAsia" w:ascii="仿宋" w:hAnsi="仿宋" w:eastAsia="仿宋" w:cs="仿宋"/>
          <w:color w:val="auto"/>
          <w:sz w:val="32"/>
          <w:szCs w:val="32"/>
        </w:rPr>
        <w:t>，年末公务用车保有量</w:t>
      </w:r>
      <w:r>
        <w:rPr>
          <w:rFonts w:hint="eastAsia" w:ascii="仿宋" w:hAnsi="仿宋" w:eastAsia="仿宋" w:cs="仿宋"/>
          <w:color w:val="auto"/>
          <w:sz w:val="32"/>
          <w:szCs w:val="32"/>
          <w:lang w:val="en-US" w:eastAsia="zh-CN"/>
        </w:rPr>
        <w:t>21</w:t>
      </w:r>
      <w:r>
        <w:rPr>
          <w:rFonts w:hint="eastAsia" w:ascii="仿宋" w:hAnsi="仿宋" w:eastAsia="仿宋" w:cs="仿宋"/>
          <w:color w:val="auto"/>
          <w:sz w:val="32"/>
          <w:szCs w:val="32"/>
        </w:rPr>
        <w:t>辆。</w:t>
      </w:r>
    </w:p>
    <w:p w14:paraId="2F0F80CE">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公务用车运行维护费</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rPr>
        <w:t>19.37</w:t>
      </w:r>
      <w:r>
        <w:rPr>
          <w:rFonts w:hint="eastAsia" w:ascii="仿宋" w:hAnsi="仿宋" w:eastAsia="仿宋" w:cs="仿宋"/>
          <w:color w:val="auto"/>
          <w:sz w:val="32"/>
          <w:szCs w:val="32"/>
        </w:rPr>
        <w:t>万元，主要用于</w:t>
      </w:r>
      <w:r>
        <w:rPr>
          <w:rFonts w:hint="eastAsia" w:ascii="仿宋" w:hAnsi="仿宋" w:eastAsia="仿宋" w:cs="仿宋"/>
          <w:color w:val="auto"/>
          <w:sz w:val="32"/>
          <w:szCs w:val="32"/>
          <w:lang w:val="en-US" w:eastAsia="zh-CN"/>
        </w:rPr>
        <w:t>基层所队执法执勤车辆的维修维护、日常运行</w:t>
      </w:r>
      <w:r>
        <w:rPr>
          <w:rFonts w:hint="eastAsia" w:ascii="仿宋" w:hAnsi="仿宋" w:eastAsia="仿宋" w:cs="仿宋"/>
          <w:color w:val="auto"/>
          <w:sz w:val="32"/>
          <w:szCs w:val="32"/>
        </w:rPr>
        <w:t>。</w:t>
      </w:r>
    </w:p>
    <w:p w14:paraId="314933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公务用车购置及运行维护费支出决算数</w:t>
      </w:r>
      <w:r>
        <w:rPr>
          <w:rFonts w:hint="eastAsia" w:ascii="仿宋" w:hAnsi="仿宋" w:eastAsia="仿宋" w:cs="仿宋"/>
          <w:sz w:val="32"/>
          <w:szCs w:val="32"/>
        </w:rPr>
        <w:t>比预算数减少</w:t>
      </w:r>
      <w:r>
        <w:rPr>
          <w:rFonts w:hint="eastAsia" w:ascii="仿宋" w:hAnsi="仿宋" w:eastAsia="仿宋" w:cs="仿宋"/>
          <w:sz w:val="32"/>
          <w:szCs w:val="32"/>
          <w:lang w:val="en-US" w:eastAsia="zh-CN"/>
        </w:rPr>
        <w:t>12.33</w:t>
      </w:r>
      <w:r>
        <w:rPr>
          <w:rFonts w:hint="eastAsia" w:ascii="仿宋" w:hAnsi="仿宋" w:eastAsia="仿宋" w:cs="仿宋"/>
          <w:sz w:val="32"/>
          <w:szCs w:val="32"/>
        </w:rPr>
        <w:t>万元，</w:t>
      </w:r>
      <w:r>
        <w:rPr>
          <w:rFonts w:hint="eastAsia" w:ascii="仿宋" w:hAnsi="仿宋" w:eastAsia="仿宋" w:cs="仿宋"/>
          <w:sz w:val="32"/>
          <w:szCs w:val="32"/>
          <w:lang w:val="en-US" w:eastAsia="zh-CN"/>
        </w:rPr>
        <w:t>完成预</w:t>
      </w:r>
      <w:r>
        <w:rPr>
          <w:rFonts w:hint="eastAsia" w:ascii="仿宋" w:hAnsi="仿宋" w:eastAsia="仿宋" w:cs="仿宋"/>
          <w:color w:val="auto"/>
          <w:sz w:val="32"/>
          <w:szCs w:val="32"/>
          <w:lang w:val="en-US" w:eastAsia="zh-CN"/>
        </w:rPr>
        <w:t>算的61.10</w:t>
      </w:r>
      <w:r>
        <w:rPr>
          <w:rFonts w:hint="eastAsia" w:ascii="仿宋" w:hAnsi="仿宋" w:eastAsia="仿宋" w:cs="仿宋"/>
          <w:color w:val="auto"/>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与</w:t>
      </w:r>
      <w:r>
        <w:rPr>
          <w:rFonts w:hint="eastAsia" w:ascii="仿宋" w:hAnsi="仿宋" w:eastAsia="仿宋" w:cs="仿宋"/>
          <w:sz w:val="32"/>
          <w:szCs w:val="32"/>
          <w:lang w:val="en-US"/>
        </w:rPr>
        <w:t>2024</w:t>
      </w:r>
      <w:r>
        <w:rPr>
          <w:rFonts w:hint="eastAsia" w:ascii="仿宋" w:hAnsi="仿宋" w:eastAsia="仿宋" w:cs="仿宋"/>
          <w:sz w:val="32"/>
          <w:szCs w:val="32"/>
        </w:rPr>
        <w:t>年度相比，</w:t>
      </w:r>
      <w:r>
        <w:rPr>
          <w:rFonts w:hint="eastAsia" w:ascii="仿宋" w:hAnsi="仿宋" w:eastAsia="仿宋" w:cs="仿宋"/>
          <w:bCs/>
          <w:sz w:val="32"/>
          <w:szCs w:val="32"/>
        </w:rPr>
        <w:t>公务用车购置及运行维护费</w:t>
      </w:r>
      <w:r>
        <w:rPr>
          <w:rFonts w:hint="eastAsia" w:ascii="仿宋" w:hAnsi="仿宋" w:eastAsia="仿宋" w:cs="仿宋"/>
          <w:sz w:val="32"/>
          <w:szCs w:val="32"/>
        </w:rPr>
        <w:t>支出减少</w:t>
      </w:r>
      <w:r>
        <w:rPr>
          <w:rFonts w:hint="eastAsia" w:ascii="仿宋" w:hAnsi="仿宋" w:eastAsia="仿宋" w:cs="仿宋"/>
          <w:color w:val="auto"/>
          <w:sz w:val="32"/>
          <w:szCs w:val="32"/>
          <w:lang w:val="en-US" w:eastAsia="zh-CN"/>
        </w:rPr>
        <w:t>11.09</w:t>
      </w:r>
      <w:r>
        <w:rPr>
          <w:rFonts w:hint="eastAsia" w:ascii="仿宋" w:hAnsi="仿宋" w:eastAsia="仿宋" w:cs="仿宋"/>
          <w:color w:val="auto"/>
          <w:sz w:val="32"/>
          <w:szCs w:val="32"/>
        </w:rPr>
        <w:t>万元，下降</w:t>
      </w:r>
      <w:r>
        <w:rPr>
          <w:rFonts w:hint="eastAsia" w:ascii="仿宋" w:hAnsi="仿宋" w:eastAsia="仿宋" w:cs="仿宋"/>
          <w:color w:val="auto"/>
          <w:sz w:val="32"/>
          <w:szCs w:val="32"/>
          <w:lang w:val="en-US" w:eastAsia="zh-CN"/>
        </w:rPr>
        <w:t>35.36</w:t>
      </w:r>
      <w:r>
        <w:rPr>
          <w:rFonts w:hint="eastAsia" w:ascii="仿宋" w:hAnsi="仿宋" w:eastAsia="仿宋" w:cs="仿宋"/>
          <w:color w:val="auto"/>
          <w:sz w:val="32"/>
          <w:szCs w:val="32"/>
        </w:rPr>
        <w:t>%，主要原因是</w:t>
      </w:r>
      <w:r>
        <w:rPr>
          <w:rFonts w:hint="eastAsia" w:ascii="仿宋" w:hAnsi="仿宋" w:eastAsia="仿宋" w:cs="仿宋"/>
          <w:color w:val="auto"/>
          <w:sz w:val="32"/>
          <w:szCs w:val="32"/>
          <w:lang w:val="en-US" w:eastAsia="zh-CN"/>
        </w:rPr>
        <w:t>基层执法出警车辆到年限报废未能及时新购，新能源车的投入使用减少了大部分执法执勤车辆的能耗费用</w:t>
      </w:r>
      <w:r>
        <w:rPr>
          <w:rFonts w:hint="eastAsia" w:ascii="仿宋" w:hAnsi="仿宋" w:eastAsia="仿宋" w:cs="仿宋"/>
          <w:sz w:val="32"/>
          <w:szCs w:val="32"/>
        </w:rPr>
        <w:t>。</w:t>
      </w:r>
    </w:p>
    <w:p w14:paraId="03743019">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rPr>
          <w:rFonts w:hint="eastAsia" w:ascii="仿宋" w:hAnsi="仿宋" w:eastAsia="仿宋" w:cs="仿宋"/>
          <w:sz w:val="32"/>
          <w:szCs w:val="32"/>
        </w:rPr>
      </w:pPr>
      <w:r>
        <w:rPr>
          <w:rFonts w:hint="eastAsia" w:ascii="仿宋" w:hAnsi="仿宋" w:eastAsia="仿宋" w:cs="仿宋"/>
          <w:b/>
          <w:sz w:val="32"/>
          <w:szCs w:val="32"/>
        </w:rPr>
        <w:t>3.公务接待费</w:t>
      </w:r>
      <w:r>
        <w:rPr>
          <w:rFonts w:hint="eastAsia" w:ascii="仿宋" w:hAnsi="仿宋" w:eastAsia="仿宋" w:cs="仿宋"/>
          <w:b w:val="0"/>
          <w:bCs/>
          <w:sz w:val="32"/>
          <w:szCs w:val="32"/>
        </w:rPr>
        <w:t>支出</w:t>
      </w:r>
      <w:r>
        <w:rPr>
          <w:rFonts w:hint="eastAsia" w:ascii="仿宋" w:hAnsi="仿宋" w:eastAsia="仿宋" w:cs="仿宋"/>
          <w:color w:val="auto"/>
          <w:sz w:val="32"/>
          <w:szCs w:val="32"/>
          <w:lang w:val="en-US"/>
        </w:rPr>
        <w:t>0.00</w:t>
      </w:r>
      <w:r>
        <w:rPr>
          <w:rFonts w:hint="eastAsia" w:ascii="仿宋" w:hAnsi="仿宋" w:eastAsia="仿宋" w:cs="仿宋"/>
          <w:sz w:val="32"/>
          <w:szCs w:val="32"/>
        </w:rPr>
        <w:t>万元。</w:t>
      </w:r>
    </w:p>
    <w:p w14:paraId="3B8181B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十、预算绩效情况说明</w:t>
      </w:r>
    </w:p>
    <w:p w14:paraId="16F958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（一）绩效管理工作开展情况</w:t>
      </w:r>
    </w:p>
    <w:p w14:paraId="3ED8D3C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bidi="ar"/>
        </w:rPr>
        <w:sectPr>
          <w:footerReference r:id="rId3" w:type="default"/>
          <w:pgSz w:w="11906" w:h="16838"/>
          <w:pgMar w:top="2098" w:right="1474" w:bottom="1300" w:left="1587" w:header="851" w:footer="992" w:gutter="0"/>
          <w:cols w:space="720" w:num="1"/>
          <w:docGrid w:type="lines" w:linePitch="312" w:charSpace="0"/>
        </w:sectPr>
      </w:pPr>
      <w:r>
        <w:rPr>
          <w:rFonts w:hint="eastAsia" w:ascii="仿宋" w:hAnsi="仿宋" w:eastAsia="仿宋" w:cs="仿宋"/>
          <w:sz w:val="32"/>
          <w:szCs w:val="32"/>
        </w:rPr>
        <w:t>根据财政预算绩效管理要求，我单位组织对</w:t>
      </w:r>
      <w:r>
        <w:rPr>
          <w:rFonts w:hint="eastAsia" w:ascii="仿宋" w:hAnsi="仿宋" w:eastAsia="仿宋" w:cs="仿宋"/>
          <w:sz w:val="32"/>
          <w:szCs w:val="32"/>
          <w:lang w:val="en-US"/>
        </w:rPr>
        <w:t>2025</w:t>
      </w:r>
      <w:r>
        <w:rPr>
          <w:rFonts w:hint="eastAsia" w:ascii="仿宋" w:hAnsi="仿宋" w:eastAsia="仿宋" w:cs="仿宋"/>
          <w:sz w:val="32"/>
          <w:szCs w:val="32"/>
        </w:rPr>
        <w:t>年度一般公共预算项目支出全面开展绩效自评</w:t>
      </w:r>
      <w:r>
        <w:rPr>
          <w:rFonts w:hint="eastAsia" w:ascii="仿宋" w:hAnsi="仿宋" w:eastAsia="仿宋" w:cs="仿宋"/>
          <w:sz w:val="32"/>
          <w:szCs w:val="32"/>
          <w:lang w:val="en-US"/>
        </w:rPr>
        <w:t>,</w:t>
      </w:r>
      <w:r>
        <w:rPr>
          <w:rFonts w:hint="eastAsia" w:ascii="仿宋" w:hAnsi="仿宋" w:eastAsia="仿宋" w:cs="仿宋"/>
          <w:sz w:val="32"/>
          <w:szCs w:val="32"/>
          <w:lang w:val="en-US" w:eastAsia="zh-CN"/>
        </w:rPr>
        <w:t>共涉</w:t>
      </w:r>
      <w:r>
        <w:rPr>
          <w:rFonts w:hint="eastAsia" w:ascii="仿宋" w:hAnsi="仿宋" w:eastAsia="仿宋" w:cs="仿宋"/>
          <w:color w:val="auto"/>
          <w:sz w:val="32"/>
          <w:szCs w:val="32"/>
          <w:lang w:val="en-US" w:eastAsia="zh-CN"/>
        </w:rPr>
        <w:t>及资金7439.69万元，占一般公共预算项目支出总额的100%</w:t>
      </w:r>
      <w:r>
        <w:rPr>
          <w:rFonts w:hint="eastAsia" w:ascii="仿宋" w:hAnsi="仿宋" w:eastAsia="仿宋" w:cs="仿宋"/>
          <w:color w:val="auto"/>
          <w:sz w:val="32"/>
          <w:szCs w:val="32"/>
          <w:lang w:bidi="ar"/>
        </w:rPr>
        <w:t>。</w:t>
      </w:r>
    </w:p>
    <w:p w14:paraId="2CA1897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bidi="ar"/>
        </w:rPr>
      </w:pPr>
    </w:p>
    <w:p w14:paraId="63E77E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rPr>
        <w:t>共组织对</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综合运行事务</w:t>
      </w:r>
      <w:r>
        <w:rPr>
          <w:rFonts w:hint="eastAsia" w:ascii="仿宋_GB2312" w:eastAsia="仿宋_GB2312"/>
          <w:color w:val="auto"/>
          <w:sz w:val="32"/>
          <w:szCs w:val="32"/>
        </w:rPr>
        <w:t>”</w:t>
      </w:r>
      <w:r>
        <w:rPr>
          <w:rFonts w:hint="eastAsia" w:ascii="仿宋" w:hAnsi="仿宋" w:eastAsia="仿宋" w:cs="仿宋"/>
          <w:color w:val="auto"/>
          <w:sz w:val="32"/>
          <w:szCs w:val="32"/>
        </w:rPr>
        <w:t>等</w:t>
      </w: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个项目开展了部门评价，</w:t>
      </w:r>
      <w:r>
        <w:rPr>
          <w:rFonts w:hint="eastAsia" w:ascii="仿宋" w:hAnsi="仿宋" w:eastAsia="仿宋" w:cs="仿宋"/>
          <w:color w:val="auto"/>
          <w:sz w:val="32"/>
          <w:szCs w:val="32"/>
          <w:lang w:bidi="ar"/>
        </w:rPr>
        <w:t>涉及一般公共预算支出</w:t>
      </w:r>
      <w:r>
        <w:rPr>
          <w:rFonts w:hint="eastAsia" w:ascii="仿宋" w:hAnsi="仿宋" w:eastAsia="仿宋" w:cs="仿宋"/>
          <w:color w:val="auto"/>
          <w:sz w:val="32"/>
          <w:szCs w:val="32"/>
          <w:lang w:val="en-US" w:eastAsia="zh-CN"/>
        </w:rPr>
        <w:t>7439.69</w:t>
      </w:r>
      <w:r>
        <w:rPr>
          <w:rFonts w:hint="eastAsia" w:ascii="仿宋" w:hAnsi="仿宋" w:eastAsia="仿宋" w:cs="仿宋"/>
          <w:color w:val="auto"/>
          <w:sz w:val="32"/>
          <w:szCs w:val="32"/>
          <w:lang w:bidi="ar"/>
        </w:rPr>
        <w:t>万元，政府性基金预算支出</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万元，国有资本经营预算支出</w:t>
      </w:r>
      <w:r>
        <w:rPr>
          <w:rFonts w:hint="eastAsia" w:ascii="仿宋" w:hAnsi="仿宋" w:eastAsia="仿宋" w:cs="仿宋"/>
          <w:color w:val="auto"/>
          <w:sz w:val="32"/>
          <w:szCs w:val="32"/>
          <w:lang w:val="en-US" w:eastAsia="zh-CN" w:bidi="ar"/>
        </w:rPr>
        <w:t>0.00</w:t>
      </w:r>
      <w:r>
        <w:rPr>
          <w:rFonts w:hint="eastAsia" w:ascii="仿宋" w:hAnsi="仿宋" w:eastAsia="仿宋" w:cs="仿宋"/>
          <w:color w:val="auto"/>
          <w:sz w:val="32"/>
          <w:szCs w:val="32"/>
          <w:lang w:bidi="ar"/>
        </w:rPr>
        <w:t>万元。</w:t>
      </w:r>
      <w:r>
        <w:rPr>
          <w:rFonts w:hint="eastAsia" w:ascii="仿宋" w:hAnsi="仿宋" w:eastAsia="仿宋" w:cs="仿宋"/>
          <w:color w:val="auto"/>
          <w:sz w:val="32"/>
          <w:szCs w:val="32"/>
        </w:rPr>
        <w:t>从评价情况来看，</w:t>
      </w:r>
      <w:r>
        <w:rPr>
          <w:rFonts w:hint="eastAsia" w:ascii="仿宋" w:hAnsi="仿宋" w:eastAsia="仿宋" w:cs="仿宋"/>
          <w:color w:val="auto"/>
          <w:sz w:val="32"/>
          <w:szCs w:val="32"/>
          <w:lang w:val="en-US" w:eastAsia="zh-CN"/>
        </w:rPr>
        <w:t>所有项目运行情况良好，基本保障了的本部门正确履职。</w:t>
      </w:r>
    </w:p>
    <w:p w14:paraId="16FFC1C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楷体" w:hAnsi="楷体" w:eastAsia="楷体" w:cs="楷体"/>
          <w:bCs/>
          <w:sz w:val="32"/>
          <w:szCs w:val="32"/>
        </w:rPr>
      </w:pPr>
      <w:r>
        <w:rPr>
          <w:rFonts w:hint="eastAsia" w:ascii="楷体" w:hAnsi="楷体" w:eastAsia="楷体" w:cs="楷体"/>
          <w:bCs/>
          <w:sz w:val="32"/>
          <w:szCs w:val="32"/>
        </w:rPr>
        <w:t>（二）</w:t>
      </w:r>
      <w:r>
        <w:rPr>
          <w:rFonts w:hint="eastAsia" w:ascii="楷体" w:hAnsi="楷体" w:eastAsia="楷体" w:cs="楷体"/>
          <w:bCs/>
          <w:sz w:val="32"/>
          <w:szCs w:val="32"/>
          <w:lang w:val="en-US" w:eastAsia="zh-CN"/>
        </w:rPr>
        <w:t>单位</w:t>
      </w:r>
      <w:r>
        <w:rPr>
          <w:rFonts w:hint="eastAsia" w:ascii="楷体" w:hAnsi="楷体" w:eastAsia="楷体" w:cs="楷体"/>
          <w:bCs/>
          <w:sz w:val="32"/>
          <w:szCs w:val="32"/>
        </w:rPr>
        <w:t>决算中项目绩效自评结果</w:t>
      </w:r>
    </w:p>
    <w:p w14:paraId="2143C8B3">
      <w:pPr>
        <w:spacing w:line="578" w:lineRule="exact"/>
        <w:rPr>
          <w:rFonts w:hint="eastAsia" w:ascii="仿宋_GB2312" w:eastAsia="仿宋_GB2312"/>
          <w:color w:val="auto"/>
          <w:sz w:val="32"/>
          <w:szCs w:val="32"/>
        </w:rPr>
      </w:pPr>
      <w:r>
        <w:rPr>
          <w:rFonts w:hint="eastAsia" w:ascii="仿宋_GB2312" w:eastAsia="仿宋_GB2312"/>
          <w:color w:val="auto"/>
          <w:sz w:val="32"/>
          <w:szCs w:val="32"/>
          <w:lang w:val="en-US" w:eastAsia="zh-CN"/>
        </w:rPr>
        <w:t>我单位在单位决算中反映综合运行事务和</w:t>
      </w:r>
      <w:r>
        <w:rPr>
          <w:rFonts w:hint="eastAsia" w:ascii="仿宋_GB2312" w:hAnsi="仿宋_GB2312" w:eastAsia="仿宋_GB2312" w:cs="仿宋_GB2312"/>
          <w:b w:val="0"/>
          <w:bCs/>
          <w:color w:val="auto"/>
          <w:sz w:val="32"/>
          <w:szCs w:val="32"/>
          <w:lang w:val="en-US" w:eastAsia="zh-CN"/>
        </w:rPr>
        <w:t>证件管理</w:t>
      </w:r>
      <w:r>
        <w:rPr>
          <w:rFonts w:hint="eastAsia" w:ascii="仿宋_GB2312" w:eastAsia="仿宋_GB2312"/>
          <w:color w:val="auto"/>
          <w:sz w:val="32"/>
          <w:szCs w:val="32"/>
          <w:lang w:eastAsia="zh-CN"/>
        </w:rPr>
        <w:t>项目绩效自评结果。</w:t>
      </w:r>
    </w:p>
    <w:p w14:paraId="6332A90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eastAsia="仿宋_GB2312"/>
          <w:color w:val="auto"/>
          <w:sz w:val="32"/>
          <w:szCs w:val="32"/>
          <w:lang w:val="en-US" w:eastAsia="zh-CN"/>
        </w:rPr>
        <w:t>综合运行事务</w:t>
      </w:r>
      <w:r>
        <w:rPr>
          <w:rFonts w:hint="eastAsia" w:ascii="仿宋_GB2312" w:hAnsi="仿宋_GB2312" w:eastAsia="仿宋_GB2312" w:cs="仿宋_GB2312"/>
          <w:b w:val="0"/>
          <w:bCs/>
          <w:color w:val="auto"/>
          <w:sz w:val="32"/>
          <w:szCs w:val="32"/>
          <w:lang w:val="en-US" w:eastAsia="zh-CN"/>
        </w:rPr>
        <w:t>项目绩效自评表：</w:t>
      </w:r>
    </w:p>
    <w:tbl>
      <w:tblPr>
        <w:tblStyle w:val="9"/>
        <w:tblW w:w="153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31"/>
        <w:gridCol w:w="1211"/>
        <w:gridCol w:w="1707"/>
        <w:gridCol w:w="1002"/>
        <w:gridCol w:w="1115"/>
        <w:gridCol w:w="1253"/>
        <w:gridCol w:w="1025"/>
        <w:gridCol w:w="1298"/>
        <w:gridCol w:w="1096"/>
        <w:gridCol w:w="868"/>
        <w:gridCol w:w="867"/>
        <w:gridCol w:w="2317"/>
      </w:tblGrid>
      <w:tr w14:paraId="0D47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5390" w:type="dxa"/>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079A1287">
            <w:pPr>
              <w:keepNext w:val="0"/>
              <w:keepLines w:val="0"/>
              <w:widowControl/>
              <w:suppressLineNumbers w:val="0"/>
              <w:jc w:val="center"/>
              <w:textAlignment w:val="center"/>
              <w:rPr>
                <w:rFonts w:ascii="等线" w:hAnsi="等线" w:eastAsia="等线" w:cs="等线"/>
                <w:b/>
                <w:bCs/>
                <w:i w:val="0"/>
                <w:iCs w:val="0"/>
                <w:color w:val="000000"/>
                <w:sz w:val="40"/>
                <w:szCs w:val="40"/>
                <w:u w:val="none"/>
              </w:rPr>
            </w:pPr>
            <w:r>
              <w:rPr>
                <w:rFonts w:hint="eastAsia" w:ascii="等线" w:hAnsi="等线" w:eastAsia="等线" w:cs="等线"/>
                <w:b/>
                <w:bCs/>
                <w:i w:val="0"/>
                <w:iCs w:val="0"/>
                <w:color w:val="000000"/>
                <w:kern w:val="0"/>
                <w:sz w:val="40"/>
                <w:szCs w:val="40"/>
                <w:u w:val="none"/>
                <w:lang w:val="en-US" w:eastAsia="zh-CN" w:bidi="ar"/>
              </w:rPr>
              <w:t xml:space="preserve">项目支出绩效自评表 </w:t>
            </w:r>
          </w:p>
        </w:tc>
      </w:tr>
      <w:tr w14:paraId="6BD8D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2E7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项目名称:</w:t>
            </w:r>
          </w:p>
        </w:tc>
        <w:tc>
          <w:tcPr>
            <w:tcW w:w="5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45394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46020024Y000001300978-综合运行事务</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D1FB">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填报人:</w:t>
            </w:r>
          </w:p>
        </w:tc>
        <w:tc>
          <w:tcPr>
            <w:tcW w:w="34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4B3D8">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陈人珠</w:t>
            </w:r>
          </w:p>
        </w:tc>
        <w:tc>
          <w:tcPr>
            <w:tcW w:w="1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7A2F7">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联系方式:</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CDF2">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88824228</w:t>
            </w:r>
          </w:p>
        </w:tc>
      </w:tr>
      <w:tr w14:paraId="2299D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878DF">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主管部门:</w:t>
            </w:r>
          </w:p>
        </w:tc>
        <w:tc>
          <w:tcPr>
            <w:tcW w:w="50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ED8A99">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312-三亚市公安局</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518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实施单位:</w:t>
            </w:r>
          </w:p>
        </w:tc>
        <w:tc>
          <w:tcPr>
            <w:tcW w:w="34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BE59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312003-三亚市公安局吉阳分局</w:t>
            </w:r>
          </w:p>
        </w:tc>
        <w:tc>
          <w:tcPr>
            <w:tcW w:w="1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E5357">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是否线下报送:</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44C1B">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否</w:t>
            </w:r>
          </w:p>
        </w:tc>
      </w:tr>
      <w:tr w14:paraId="775E6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D8788">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填报情况说明：</w:t>
            </w:r>
          </w:p>
        </w:tc>
        <w:tc>
          <w:tcPr>
            <w:tcW w:w="1375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D57BF0">
            <w:pPr>
              <w:jc w:val="left"/>
              <w:rPr>
                <w:rFonts w:hint="eastAsia" w:ascii="等线" w:hAnsi="等线" w:eastAsia="等线" w:cs="等线"/>
                <w:i w:val="0"/>
                <w:iCs w:val="0"/>
                <w:color w:val="000000"/>
                <w:sz w:val="22"/>
                <w:szCs w:val="22"/>
                <w:u w:val="none"/>
              </w:rPr>
            </w:pPr>
          </w:p>
        </w:tc>
      </w:tr>
      <w:tr w14:paraId="3909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2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4782F">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资金构成(元)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E6AD">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年初预算数</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E1FCB">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全年预算数</w:t>
            </w:r>
          </w:p>
        </w:tc>
        <w:tc>
          <w:tcPr>
            <w:tcW w:w="46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68C012">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执行数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F73BB">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分值</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F6D6E">
            <w:pPr>
              <w:keepNext w:val="0"/>
              <w:keepLines w:val="0"/>
              <w:widowControl/>
              <w:suppressLineNumbers w:val="0"/>
              <w:jc w:val="left"/>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执行率（%）</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E087">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得分</w:t>
            </w:r>
          </w:p>
        </w:tc>
      </w:tr>
      <w:tr w14:paraId="5915E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1685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资金总额：</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98D23">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13,000,000.00</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4BD2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14,012,000.00</w:t>
            </w:r>
          </w:p>
        </w:tc>
        <w:tc>
          <w:tcPr>
            <w:tcW w:w="46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A946C3">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11,987,522.49</w:t>
            </w:r>
          </w:p>
        </w:tc>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53C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10.00 </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BF43">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85.55</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A8E10">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8.56</w:t>
            </w:r>
          </w:p>
        </w:tc>
      </w:tr>
      <w:tr w14:paraId="2F7CE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EA34E">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其中：财政资金：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3096">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4C01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12,000.00</w:t>
            </w:r>
          </w:p>
        </w:tc>
        <w:tc>
          <w:tcPr>
            <w:tcW w:w="46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AED88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10,276.59</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B130">
            <w:pPr>
              <w:jc w:val="right"/>
              <w:rPr>
                <w:rFonts w:hint="eastAsia" w:ascii="等线" w:hAnsi="等线" w:eastAsia="等线" w:cs="等线"/>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917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85.64</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AEE9">
            <w:pPr>
              <w:jc w:val="center"/>
              <w:rPr>
                <w:rFonts w:hint="eastAsia" w:ascii="等线" w:hAnsi="等线" w:eastAsia="等线" w:cs="等线"/>
                <w:i w:val="0"/>
                <w:iCs w:val="0"/>
                <w:color w:val="000000"/>
                <w:sz w:val="22"/>
                <w:szCs w:val="22"/>
                <w:u w:val="none"/>
              </w:rPr>
            </w:pPr>
          </w:p>
        </w:tc>
      </w:tr>
      <w:tr w14:paraId="58A34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05897">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单位资金：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FF9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13,000,000.00</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EB5C4">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14,000,000.00</w:t>
            </w:r>
          </w:p>
        </w:tc>
        <w:tc>
          <w:tcPr>
            <w:tcW w:w="46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242D73">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11,977,245.90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F453">
            <w:pPr>
              <w:jc w:val="right"/>
              <w:rPr>
                <w:rFonts w:hint="eastAsia" w:ascii="等线" w:hAnsi="等线" w:eastAsia="等线" w:cs="等线"/>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9C0D">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85.55</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DE44">
            <w:pPr>
              <w:jc w:val="center"/>
              <w:rPr>
                <w:rFonts w:hint="eastAsia" w:ascii="等线" w:hAnsi="等线" w:eastAsia="等线" w:cs="等线"/>
                <w:i w:val="0"/>
                <w:iCs w:val="0"/>
                <w:color w:val="000000"/>
                <w:sz w:val="22"/>
                <w:szCs w:val="22"/>
                <w:u w:val="none"/>
              </w:rPr>
            </w:pPr>
          </w:p>
        </w:tc>
      </w:tr>
      <w:tr w14:paraId="4447A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C1AA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财政专户管理资金：</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8D6F">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1DBF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467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99FCCB">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C551">
            <w:pPr>
              <w:jc w:val="right"/>
              <w:rPr>
                <w:rFonts w:hint="eastAsia" w:ascii="等线" w:hAnsi="等线" w:eastAsia="等线" w:cs="等线"/>
                <w:i w:val="0"/>
                <w:iCs w:val="0"/>
                <w:color w:val="000000"/>
                <w:sz w:val="22"/>
                <w:szCs w:val="22"/>
                <w:u w:val="none"/>
              </w:rPr>
            </w:pP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C62D">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31F6">
            <w:pPr>
              <w:jc w:val="center"/>
              <w:rPr>
                <w:rFonts w:hint="eastAsia" w:ascii="等线" w:hAnsi="等线" w:eastAsia="等线" w:cs="等线"/>
                <w:i w:val="0"/>
                <w:iCs w:val="0"/>
                <w:color w:val="000000"/>
                <w:sz w:val="22"/>
                <w:szCs w:val="22"/>
                <w:u w:val="none"/>
              </w:rPr>
            </w:pPr>
          </w:p>
        </w:tc>
      </w:tr>
      <w:tr w14:paraId="65AAD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94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3A5085A">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年度目标</w:t>
            </w:r>
          </w:p>
        </w:tc>
        <w:tc>
          <w:tcPr>
            <w:tcW w:w="64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7D6768">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年度目标完成情况</w:t>
            </w:r>
          </w:p>
        </w:tc>
      </w:tr>
      <w:tr w14:paraId="7B23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3" w:hRule="atLeast"/>
        </w:trPr>
        <w:tc>
          <w:tcPr>
            <w:tcW w:w="8944"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4FCD1675">
            <w:pPr>
              <w:keepNext w:val="0"/>
              <w:keepLines w:val="0"/>
              <w:widowControl/>
              <w:suppressLineNumbers w:val="0"/>
              <w:jc w:val="left"/>
              <w:textAlignment w:val="top"/>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保障公安日常工作的正常运转。</w:t>
            </w:r>
          </w:p>
        </w:tc>
        <w:tc>
          <w:tcPr>
            <w:tcW w:w="6446"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51F5A177">
            <w:pPr>
              <w:keepNext w:val="0"/>
              <w:keepLines w:val="0"/>
              <w:widowControl/>
              <w:suppressLineNumbers w:val="0"/>
              <w:jc w:val="left"/>
              <w:textAlignment w:val="top"/>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确保了2025年分局各部门及基层派出所正常运行，确保设施设备正常使用，有效提升民辅警业务能力，提高了民辅警保障力度，为吉阳分局履行职责提供了有力保障。</w:t>
            </w:r>
          </w:p>
        </w:tc>
      </w:tr>
      <w:tr w14:paraId="2CD25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ABB9">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一级指标</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5D26">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二级指标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596B7">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三级指标</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EDBF">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指标性质</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1AE5">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年度指标值</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DA00">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度量单位</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96C2">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实际完成值</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A86C">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完成率</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5071">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分值</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5976">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得分</w:t>
            </w:r>
          </w:p>
        </w:tc>
        <w:tc>
          <w:tcPr>
            <w:tcW w:w="23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191C">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未完成原因分析</w:t>
            </w:r>
          </w:p>
        </w:tc>
      </w:tr>
      <w:tr w14:paraId="2A176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D4F9">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产出指标</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55E2">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数量指标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949B2">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设施维护完成率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6395">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DAB5">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41938">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DA8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2B9F">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85.00%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F5C0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9EE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17</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A38A">
            <w:pPr>
              <w:rPr>
                <w:rFonts w:hint="eastAsia" w:ascii="等线" w:hAnsi="等线" w:eastAsia="等线" w:cs="等线"/>
                <w:i w:val="0"/>
                <w:iCs w:val="0"/>
                <w:color w:val="000000"/>
                <w:sz w:val="22"/>
                <w:szCs w:val="22"/>
                <w:u w:val="none"/>
              </w:rPr>
            </w:pPr>
          </w:p>
        </w:tc>
      </w:tr>
      <w:tr w14:paraId="1223C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F124D">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产出指标</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01A55">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质量指标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EC8FE">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维修项目和采购的设备验收合格率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FC350">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B4A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127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050B">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444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B573">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6385">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9008">
            <w:pPr>
              <w:rPr>
                <w:rFonts w:hint="eastAsia" w:ascii="等线" w:hAnsi="等线" w:eastAsia="等线" w:cs="等线"/>
                <w:i w:val="0"/>
                <w:iCs w:val="0"/>
                <w:color w:val="000000"/>
                <w:sz w:val="22"/>
                <w:szCs w:val="22"/>
                <w:u w:val="none"/>
              </w:rPr>
            </w:pPr>
          </w:p>
        </w:tc>
      </w:tr>
      <w:tr w14:paraId="090A1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5E7F">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产出指标</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A7B2">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时效指标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D3A62">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设备设施维护及时率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3ED7">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258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146B">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3EE5">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C62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84.21%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0D1FE">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D9EB">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16.84</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7697C">
            <w:pPr>
              <w:rPr>
                <w:rFonts w:hint="eastAsia" w:ascii="等线" w:hAnsi="等线" w:eastAsia="等线" w:cs="等线"/>
                <w:i w:val="0"/>
                <w:iCs w:val="0"/>
                <w:color w:val="000000"/>
                <w:sz w:val="22"/>
                <w:szCs w:val="22"/>
                <w:u w:val="none"/>
              </w:rPr>
            </w:pPr>
          </w:p>
        </w:tc>
      </w:tr>
      <w:tr w14:paraId="13163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307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效益指标</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862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社会效益指标</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09F4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设备设施利用率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0837">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E2DB7">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8D10">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4A47">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80</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29BC">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84.21%</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9266">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422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16.84</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396D6">
            <w:pPr>
              <w:rPr>
                <w:rFonts w:hint="eastAsia" w:ascii="等线" w:hAnsi="等线" w:eastAsia="等线" w:cs="等线"/>
                <w:i w:val="0"/>
                <w:iCs w:val="0"/>
                <w:color w:val="000000"/>
                <w:sz w:val="22"/>
                <w:szCs w:val="22"/>
                <w:u w:val="none"/>
              </w:rPr>
            </w:pPr>
          </w:p>
        </w:tc>
      </w:tr>
      <w:tr w14:paraId="6E9B2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6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887E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满意度指标</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0538">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服务对象满意度</w:t>
            </w:r>
          </w:p>
        </w:tc>
        <w:tc>
          <w:tcPr>
            <w:tcW w:w="27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6CF1B">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民辅警满意度</w:t>
            </w:r>
          </w:p>
        </w:tc>
        <w:tc>
          <w:tcPr>
            <w:tcW w:w="1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7454">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1B0A">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70E6">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327BD">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97</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7C8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2FCC">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6329">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46CC">
            <w:pPr>
              <w:rPr>
                <w:rFonts w:hint="eastAsia" w:ascii="等线" w:hAnsi="等线" w:eastAsia="等线" w:cs="等线"/>
                <w:i w:val="0"/>
                <w:iCs w:val="0"/>
                <w:color w:val="000000"/>
                <w:sz w:val="22"/>
                <w:szCs w:val="22"/>
                <w:u w:val="none"/>
              </w:rPr>
            </w:pPr>
          </w:p>
        </w:tc>
      </w:tr>
      <w:tr w14:paraId="7F5F4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133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6E68C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合计</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C39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100.00</w:t>
            </w:r>
          </w:p>
        </w:tc>
        <w:tc>
          <w:tcPr>
            <w:tcW w:w="8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CB60">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89.24</w:t>
            </w:r>
          </w:p>
        </w:tc>
        <w:tc>
          <w:tcPr>
            <w:tcW w:w="2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523C4">
            <w:pPr>
              <w:rPr>
                <w:rFonts w:hint="eastAsia" w:ascii="等线" w:hAnsi="等线" w:eastAsia="等线" w:cs="等线"/>
                <w:i w:val="0"/>
                <w:iCs w:val="0"/>
                <w:color w:val="000000"/>
                <w:sz w:val="22"/>
                <w:szCs w:val="22"/>
                <w:u w:val="none"/>
              </w:rPr>
            </w:pPr>
          </w:p>
        </w:tc>
      </w:tr>
    </w:tbl>
    <w:p w14:paraId="1752048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_GB2312" w:eastAsia="仿宋_GB2312"/>
          <w:color w:val="auto"/>
          <w:sz w:val="32"/>
          <w:szCs w:val="32"/>
          <w:lang w:val="en-US" w:eastAsia="zh-CN"/>
        </w:rPr>
        <w:t>综合运行事务项目</w:t>
      </w:r>
      <w:r>
        <w:rPr>
          <w:rFonts w:hint="eastAsia" w:ascii="仿宋" w:hAnsi="仿宋" w:eastAsia="仿宋" w:cs="仿宋"/>
          <w:sz w:val="32"/>
          <w:szCs w:val="32"/>
        </w:rPr>
        <w:t>绩效自评报告：根据年初设定的绩效目标，项目绩效自评得分为</w:t>
      </w:r>
      <w:r>
        <w:rPr>
          <w:rFonts w:hint="eastAsia" w:ascii="仿宋" w:hAnsi="仿宋" w:eastAsia="仿宋" w:cs="仿宋"/>
          <w:color w:val="auto"/>
          <w:sz w:val="32"/>
          <w:szCs w:val="32"/>
          <w:lang w:val="en-US" w:eastAsia="zh-CN"/>
        </w:rPr>
        <w:t>96</w:t>
      </w:r>
      <w:r>
        <w:rPr>
          <w:rFonts w:hint="eastAsia" w:ascii="仿宋" w:hAnsi="仿宋" w:eastAsia="仿宋" w:cs="仿宋"/>
          <w:sz w:val="32"/>
          <w:szCs w:val="32"/>
        </w:rPr>
        <w:t>分。全年预算数为</w:t>
      </w:r>
      <w:r>
        <w:rPr>
          <w:rFonts w:hint="eastAsia" w:ascii="仿宋_GB2312" w:hAnsi="仿宋_GB2312" w:eastAsia="仿宋_GB2312" w:cs="仿宋_GB2312"/>
          <w:b w:val="0"/>
          <w:bCs w:val="0"/>
          <w:sz w:val="32"/>
          <w:szCs w:val="32"/>
          <w:lang w:val="en-US" w:eastAsia="zh-CN"/>
        </w:rPr>
        <w:t>1401.2</w:t>
      </w:r>
      <w:r>
        <w:rPr>
          <w:rFonts w:hint="eastAsia" w:ascii="仿宋" w:hAnsi="仿宋" w:eastAsia="仿宋" w:cs="仿宋"/>
          <w:sz w:val="32"/>
          <w:szCs w:val="32"/>
        </w:rPr>
        <w:t>万元，执行数为</w:t>
      </w:r>
      <w:r>
        <w:rPr>
          <w:rFonts w:hint="eastAsia" w:ascii="仿宋_GB2312" w:hAnsi="仿宋_GB2312" w:eastAsia="仿宋_GB2312" w:cs="仿宋_GB2312"/>
          <w:b w:val="0"/>
          <w:bCs w:val="0"/>
          <w:sz w:val="32"/>
          <w:szCs w:val="32"/>
          <w:lang w:val="en-US" w:eastAsia="zh-CN"/>
        </w:rPr>
        <w:t>1198.75</w:t>
      </w:r>
      <w:r>
        <w:rPr>
          <w:rFonts w:hint="eastAsia" w:ascii="仿宋" w:hAnsi="仿宋" w:eastAsia="仿宋" w:cs="仿宋"/>
          <w:sz w:val="32"/>
          <w:szCs w:val="32"/>
        </w:rPr>
        <w:t>万元，完成预算的</w:t>
      </w:r>
      <w:r>
        <w:rPr>
          <w:rFonts w:hint="eastAsia" w:ascii="仿宋_GB2312" w:hAnsi="仿宋_GB2312" w:eastAsia="仿宋_GB2312" w:cs="仿宋_GB2312"/>
          <w:b w:val="0"/>
          <w:bCs w:val="0"/>
          <w:sz w:val="32"/>
          <w:szCs w:val="32"/>
          <w:lang w:val="en-US" w:eastAsia="zh-CN"/>
        </w:rPr>
        <w:t>85.55</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主要原因是执行市财政局过紧日子的政策要求，大力压减装修类支出</w:t>
      </w:r>
      <w:r>
        <w:rPr>
          <w:rFonts w:hint="eastAsia" w:ascii="仿宋" w:hAnsi="仿宋" w:eastAsia="仿宋" w:cs="仿宋"/>
          <w:sz w:val="32"/>
          <w:szCs w:val="32"/>
        </w:rPr>
        <w:t>。项目绩效目标完成情况：一是</w:t>
      </w:r>
      <w:r>
        <w:rPr>
          <w:rFonts w:hint="eastAsia" w:ascii="仿宋_GB2312" w:hAnsi="仿宋_GB2312" w:eastAsia="仿宋_GB2312" w:cs="仿宋_GB2312"/>
          <w:b w:val="0"/>
          <w:bCs/>
          <w:sz w:val="32"/>
          <w:szCs w:val="32"/>
          <w:lang w:val="en-US" w:eastAsia="zh-CN"/>
        </w:rPr>
        <w:t>设施维护完成率等于100%</w:t>
      </w:r>
      <w:r>
        <w:rPr>
          <w:rFonts w:hint="eastAsia" w:ascii="仿宋" w:hAnsi="仿宋" w:eastAsia="仿宋" w:cs="仿宋"/>
          <w:sz w:val="32"/>
          <w:szCs w:val="32"/>
        </w:rPr>
        <w:t>；二是</w:t>
      </w:r>
      <w:r>
        <w:rPr>
          <w:rFonts w:hint="eastAsia" w:ascii="仿宋_GB2312" w:hAnsi="仿宋_GB2312" w:eastAsia="仿宋_GB2312" w:cs="仿宋_GB2312"/>
          <w:sz w:val="32"/>
          <w:szCs w:val="32"/>
          <w:lang w:val="en-US" w:eastAsia="zh-CN"/>
        </w:rPr>
        <w:t>维修维护项目和采购设备验收合格率等于100%；三是设备设施维护及时率等于80%</w:t>
      </w:r>
      <w:r>
        <w:rPr>
          <w:rFonts w:hint="eastAsia" w:ascii="仿宋" w:hAnsi="仿宋" w:eastAsia="仿宋" w:cs="仿宋"/>
          <w:sz w:val="32"/>
          <w:szCs w:val="32"/>
        </w:rPr>
        <w:t>。下一步改进措施：</w:t>
      </w:r>
      <w:r>
        <w:rPr>
          <w:rFonts w:hint="eastAsia" w:ascii="仿宋" w:hAnsi="仿宋" w:eastAsia="仿宋" w:cs="仿宋"/>
          <w:sz w:val="32"/>
          <w:szCs w:val="32"/>
          <w:lang w:val="en-US" w:eastAsia="zh-CN"/>
        </w:rPr>
        <w:t>不断优化运行成本，继续执行过紧日子的政策</w:t>
      </w:r>
      <w:r>
        <w:rPr>
          <w:rFonts w:hint="eastAsia" w:ascii="仿宋" w:hAnsi="仿宋" w:eastAsia="仿宋" w:cs="仿宋"/>
          <w:sz w:val="32"/>
          <w:szCs w:val="32"/>
        </w:rPr>
        <w:t>。</w:t>
      </w:r>
    </w:p>
    <w:p w14:paraId="6D6C5D0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_GB2312" w:eastAsia="仿宋_GB2312"/>
          <w:color w:val="auto"/>
          <w:sz w:val="32"/>
          <w:szCs w:val="32"/>
          <w:lang w:val="en-US" w:eastAsia="zh-CN"/>
        </w:rPr>
        <w:t>证件管理</w:t>
      </w:r>
      <w:r>
        <w:rPr>
          <w:rFonts w:hint="eastAsia" w:ascii="仿宋_GB2312" w:hAnsi="仿宋_GB2312" w:eastAsia="仿宋_GB2312" w:cs="仿宋_GB2312"/>
          <w:b w:val="0"/>
          <w:bCs/>
          <w:color w:val="auto"/>
          <w:sz w:val="32"/>
          <w:szCs w:val="32"/>
          <w:lang w:val="en-US" w:eastAsia="zh-CN"/>
        </w:rPr>
        <w:t>项目绩效自评表：</w:t>
      </w:r>
    </w:p>
    <w:tbl>
      <w:tblPr>
        <w:tblStyle w:val="9"/>
        <w:tblW w:w="149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56"/>
        <w:gridCol w:w="1075"/>
        <w:gridCol w:w="1691"/>
        <w:gridCol w:w="979"/>
        <w:gridCol w:w="811"/>
        <w:gridCol w:w="1245"/>
        <w:gridCol w:w="1009"/>
        <w:gridCol w:w="1298"/>
        <w:gridCol w:w="820"/>
        <w:gridCol w:w="857"/>
        <w:gridCol w:w="1086"/>
        <w:gridCol w:w="2283"/>
      </w:tblGrid>
      <w:tr w14:paraId="4498B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491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4AA8716">
            <w:pPr>
              <w:keepNext w:val="0"/>
              <w:keepLines w:val="0"/>
              <w:widowControl/>
              <w:suppressLineNumbers w:val="0"/>
              <w:jc w:val="center"/>
              <w:textAlignment w:val="center"/>
              <w:rPr>
                <w:rFonts w:ascii="等线" w:hAnsi="等线" w:eastAsia="等线" w:cs="等线"/>
                <w:b/>
                <w:bCs/>
                <w:i w:val="0"/>
                <w:iCs w:val="0"/>
                <w:color w:val="000000"/>
                <w:sz w:val="40"/>
                <w:szCs w:val="40"/>
                <w:u w:val="none"/>
              </w:rPr>
            </w:pPr>
            <w:r>
              <w:rPr>
                <w:rFonts w:hint="eastAsia" w:ascii="等线" w:hAnsi="等线" w:eastAsia="等线" w:cs="等线"/>
                <w:b/>
                <w:bCs/>
                <w:i w:val="0"/>
                <w:iCs w:val="0"/>
                <w:color w:val="000000"/>
                <w:kern w:val="0"/>
                <w:sz w:val="40"/>
                <w:szCs w:val="40"/>
                <w:u w:val="none"/>
                <w:lang w:val="en-US" w:eastAsia="zh-CN" w:bidi="ar"/>
              </w:rPr>
              <w:t xml:space="preserve">项目支出绩效自评表 </w:t>
            </w:r>
          </w:p>
        </w:tc>
      </w:tr>
      <w:tr w14:paraId="52BA3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E23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项目名称:</w:t>
            </w:r>
          </w:p>
        </w:tc>
        <w:tc>
          <w:tcPr>
            <w:tcW w:w="46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19CB44">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46020024T000001258725-证件管理</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11C0">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填报人:</w:t>
            </w:r>
          </w:p>
        </w:tc>
        <w:tc>
          <w:tcPr>
            <w:tcW w:w="3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F062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陈人珠</w:t>
            </w:r>
          </w:p>
        </w:tc>
        <w:tc>
          <w:tcPr>
            <w:tcW w:w="1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50136">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联系方式:</w:t>
            </w:r>
          </w:p>
        </w:tc>
        <w:tc>
          <w:tcPr>
            <w:tcW w:w="2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5EE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88824228</w:t>
            </w:r>
          </w:p>
        </w:tc>
      </w:tr>
      <w:tr w14:paraId="59B75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B3B7">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主管部门:</w:t>
            </w:r>
          </w:p>
        </w:tc>
        <w:tc>
          <w:tcPr>
            <w:tcW w:w="46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DFBC40">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312-三亚市公安局</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4EDE">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实施单位:</w:t>
            </w:r>
          </w:p>
        </w:tc>
        <w:tc>
          <w:tcPr>
            <w:tcW w:w="31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CCF6FF">
            <w:pPr>
              <w:keepNext w:val="0"/>
              <w:keepLines w:val="0"/>
              <w:widowControl/>
              <w:suppressLineNumbers w:val="0"/>
              <w:jc w:val="left"/>
              <w:textAlignment w:val="center"/>
              <w:rPr>
                <w:rFonts w:hint="eastAsia" w:ascii="等线" w:hAnsi="等线" w:eastAsia="等线" w:cs="等线"/>
                <w:i w:val="0"/>
                <w:iCs w:val="0"/>
                <w:color w:val="000000"/>
                <w:sz w:val="20"/>
                <w:szCs w:val="20"/>
                <w:u w:val="none"/>
              </w:rPr>
            </w:pPr>
            <w:r>
              <w:rPr>
                <w:rFonts w:hint="eastAsia" w:ascii="等线" w:hAnsi="等线" w:eastAsia="等线" w:cs="等线"/>
                <w:i w:val="0"/>
                <w:iCs w:val="0"/>
                <w:color w:val="000000"/>
                <w:kern w:val="0"/>
                <w:sz w:val="20"/>
                <w:szCs w:val="20"/>
                <w:u w:val="none"/>
                <w:lang w:val="en-US" w:eastAsia="zh-CN" w:bidi="ar"/>
              </w:rPr>
              <w:t>312003-三亚市公安局吉阳分局</w:t>
            </w:r>
          </w:p>
        </w:tc>
        <w:tc>
          <w:tcPr>
            <w:tcW w:w="19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32CBC">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是否线下报送:</w:t>
            </w:r>
          </w:p>
        </w:tc>
        <w:tc>
          <w:tcPr>
            <w:tcW w:w="2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15D9">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否</w:t>
            </w:r>
          </w:p>
        </w:tc>
      </w:tr>
      <w:tr w14:paraId="448F2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5765A">
            <w:pPr>
              <w:keepNext w:val="0"/>
              <w:keepLines w:val="0"/>
              <w:widowControl/>
              <w:suppressLineNumbers w:val="0"/>
              <w:jc w:val="lef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填报情况说明：</w:t>
            </w:r>
          </w:p>
        </w:tc>
        <w:tc>
          <w:tcPr>
            <w:tcW w:w="13472"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5771C2D">
            <w:pPr>
              <w:jc w:val="left"/>
              <w:rPr>
                <w:rFonts w:hint="eastAsia" w:ascii="等线" w:hAnsi="等线" w:eastAsia="等线" w:cs="等线"/>
                <w:i w:val="0"/>
                <w:iCs w:val="0"/>
                <w:color w:val="000000"/>
                <w:sz w:val="22"/>
                <w:szCs w:val="22"/>
                <w:u w:val="none"/>
              </w:rPr>
            </w:pPr>
          </w:p>
        </w:tc>
      </w:tr>
      <w:tr w14:paraId="5EE1C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AE09C">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资金构成(元)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E9B7">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年初预算数</w:t>
            </w:r>
          </w:p>
        </w:tc>
        <w:tc>
          <w:tcPr>
            <w:tcW w:w="1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1859B">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全年预算数</w:t>
            </w:r>
          </w:p>
        </w:tc>
        <w:tc>
          <w:tcPr>
            <w:tcW w:w="44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5DD96B">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执行数</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8733">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分值</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6796">
            <w:pPr>
              <w:keepNext w:val="0"/>
              <w:keepLines w:val="0"/>
              <w:widowControl/>
              <w:suppressLineNumbers w:val="0"/>
              <w:jc w:val="left"/>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执行率（%）</w:t>
            </w:r>
          </w:p>
        </w:tc>
        <w:tc>
          <w:tcPr>
            <w:tcW w:w="2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683B7">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得分</w:t>
            </w:r>
          </w:p>
        </w:tc>
      </w:tr>
      <w:tr w14:paraId="4A75B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1A529">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资金总额：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730E">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300,000.00</w:t>
            </w:r>
          </w:p>
        </w:tc>
        <w:tc>
          <w:tcPr>
            <w:tcW w:w="1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FE2E46">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300,000.00</w:t>
            </w:r>
          </w:p>
        </w:tc>
        <w:tc>
          <w:tcPr>
            <w:tcW w:w="44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24A646">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204,469.10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6668">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 xml:space="preserve">10.00 </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00CA">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52DF">
            <w:pPr>
              <w:keepNext w:val="0"/>
              <w:keepLines w:val="0"/>
              <w:widowControl/>
              <w:suppressLineNumbers w:val="0"/>
              <w:jc w:val="center"/>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6.82</w:t>
            </w:r>
          </w:p>
        </w:tc>
      </w:tr>
      <w:tr w14:paraId="63B8A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FF526">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EFF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300,000.00</w:t>
            </w:r>
          </w:p>
        </w:tc>
        <w:tc>
          <w:tcPr>
            <w:tcW w:w="1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EEE9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300,000.00</w:t>
            </w:r>
          </w:p>
        </w:tc>
        <w:tc>
          <w:tcPr>
            <w:tcW w:w="44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D4E99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204,469.10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737F">
            <w:pPr>
              <w:jc w:val="right"/>
              <w:rPr>
                <w:rFonts w:hint="eastAsia" w:ascii="等线" w:hAnsi="等线" w:eastAsia="等线" w:cs="等线"/>
                <w:i w:val="0"/>
                <w:iCs w:val="0"/>
                <w:color w:val="000000"/>
                <w:sz w:val="22"/>
                <w:szCs w:val="22"/>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9F52">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68.16</w:t>
            </w:r>
          </w:p>
        </w:tc>
        <w:tc>
          <w:tcPr>
            <w:tcW w:w="2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4C63">
            <w:pPr>
              <w:jc w:val="center"/>
              <w:rPr>
                <w:rFonts w:hint="eastAsia" w:ascii="等线" w:hAnsi="等线" w:eastAsia="等线" w:cs="等线"/>
                <w:i w:val="0"/>
                <w:iCs w:val="0"/>
                <w:color w:val="000000"/>
                <w:sz w:val="22"/>
                <w:szCs w:val="22"/>
                <w:u w:val="none"/>
              </w:rPr>
            </w:pPr>
          </w:p>
        </w:tc>
      </w:tr>
      <w:tr w14:paraId="5103F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EC0C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76C5">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1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14758">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44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43AFBA">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7D3B">
            <w:pPr>
              <w:jc w:val="right"/>
              <w:rPr>
                <w:rFonts w:hint="eastAsia" w:ascii="等线" w:hAnsi="等线" w:eastAsia="等线" w:cs="等线"/>
                <w:i w:val="0"/>
                <w:iCs w:val="0"/>
                <w:color w:val="000000"/>
                <w:sz w:val="22"/>
                <w:szCs w:val="22"/>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DBEB">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w:t>
            </w:r>
          </w:p>
        </w:tc>
        <w:tc>
          <w:tcPr>
            <w:tcW w:w="2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61A3">
            <w:pPr>
              <w:jc w:val="center"/>
              <w:rPr>
                <w:rFonts w:hint="eastAsia" w:ascii="等线" w:hAnsi="等线" w:eastAsia="等线" w:cs="等线"/>
                <w:i w:val="0"/>
                <w:iCs w:val="0"/>
                <w:color w:val="000000"/>
                <w:sz w:val="22"/>
                <w:szCs w:val="22"/>
                <w:u w:val="none"/>
              </w:rPr>
            </w:pPr>
          </w:p>
        </w:tc>
      </w:tr>
      <w:tr w14:paraId="7E883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3C051">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37C8A">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1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506B6">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44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58C98B">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E7E5">
            <w:pPr>
              <w:jc w:val="right"/>
              <w:rPr>
                <w:rFonts w:hint="eastAsia" w:ascii="等线" w:hAnsi="等线" w:eastAsia="等线" w:cs="等线"/>
                <w:i w:val="0"/>
                <w:iCs w:val="0"/>
                <w:color w:val="000000"/>
                <w:sz w:val="22"/>
                <w:szCs w:val="22"/>
                <w:u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2C6E">
            <w:pPr>
              <w:keepNext w:val="0"/>
              <w:keepLines w:val="0"/>
              <w:widowControl/>
              <w:suppressLineNumbers w:val="0"/>
              <w:jc w:val="right"/>
              <w:textAlignment w:val="center"/>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0</w:t>
            </w:r>
          </w:p>
        </w:tc>
        <w:tc>
          <w:tcPr>
            <w:tcW w:w="2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36DD">
            <w:pPr>
              <w:jc w:val="center"/>
              <w:rPr>
                <w:rFonts w:hint="eastAsia" w:ascii="等线" w:hAnsi="等线" w:eastAsia="等线" w:cs="等线"/>
                <w:i w:val="0"/>
                <w:iCs w:val="0"/>
                <w:color w:val="000000"/>
                <w:sz w:val="22"/>
                <w:szCs w:val="22"/>
                <w:u w:val="none"/>
              </w:rPr>
            </w:pPr>
          </w:p>
        </w:tc>
      </w:tr>
      <w:tr w14:paraId="00AA6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49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9EF4C60">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年度目标</w:t>
            </w:r>
          </w:p>
        </w:tc>
        <w:tc>
          <w:tcPr>
            <w:tcW w:w="642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E33102">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年度目标完成情况</w:t>
            </w:r>
          </w:p>
        </w:tc>
      </w:tr>
      <w:tr w14:paraId="7503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rPr>
        <w:tc>
          <w:tcPr>
            <w:tcW w:w="8490" w:type="dxa"/>
            <w:gridSpan w:val="7"/>
            <w:tcBorders>
              <w:top w:val="single" w:color="000000" w:sz="4" w:space="0"/>
              <w:left w:val="single" w:color="000000" w:sz="4" w:space="0"/>
              <w:bottom w:val="single" w:color="000000" w:sz="4" w:space="0"/>
              <w:right w:val="single" w:color="000000" w:sz="4" w:space="0"/>
            </w:tcBorders>
            <w:shd w:val="clear" w:color="auto" w:fill="auto"/>
            <w:vAlign w:val="top"/>
          </w:tcPr>
          <w:p w14:paraId="4DE9299A">
            <w:pPr>
              <w:keepNext w:val="0"/>
              <w:keepLines w:val="0"/>
              <w:widowControl/>
              <w:suppressLineNumbers w:val="0"/>
              <w:jc w:val="left"/>
              <w:textAlignment w:val="top"/>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及时为群众办理证件业务，方便群众出行及办理相关业务。</w:t>
            </w:r>
          </w:p>
        </w:tc>
        <w:tc>
          <w:tcPr>
            <w:tcW w:w="6424"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14:paraId="7F206D35">
            <w:pPr>
              <w:keepNext w:val="0"/>
              <w:keepLines w:val="0"/>
              <w:widowControl/>
              <w:suppressLineNumbers w:val="0"/>
              <w:jc w:val="left"/>
              <w:textAlignment w:val="top"/>
              <w:rPr>
                <w:rFonts w:hint="eastAsia"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确保了户籍业务正常开展，确保辖区内群众证件正常办理。</w:t>
            </w:r>
          </w:p>
        </w:tc>
      </w:tr>
      <w:tr w14:paraId="653C2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C1AD">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一级指标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FB9D">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二级指标</w:t>
            </w:r>
          </w:p>
        </w:tc>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2F977">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三级指标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35DA">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指标性质</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A9CB">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年度指标值</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F702">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度量单位</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2D296">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实际完成值</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1AF96">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完成率</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5154">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分值</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6BBB">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得分</w:t>
            </w:r>
          </w:p>
        </w:tc>
        <w:tc>
          <w:tcPr>
            <w:tcW w:w="2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BFFC">
            <w:pPr>
              <w:keepNext w:val="0"/>
              <w:keepLines w:val="0"/>
              <w:widowControl/>
              <w:suppressLineNumbers w:val="0"/>
              <w:jc w:val="center"/>
              <w:textAlignment w:val="center"/>
              <w:rPr>
                <w:rFonts w:hint="eastAsia" w:ascii="等线" w:hAnsi="等线" w:eastAsia="等线" w:cs="等线"/>
                <w:b/>
                <w:bCs/>
                <w:i w:val="0"/>
                <w:iCs w:val="0"/>
                <w:color w:val="000000"/>
                <w:sz w:val="24"/>
                <w:szCs w:val="24"/>
                <w:u w:val="none"/>
              </w:rPr>
            </w:pPr>
            <w:r>
              <w:rPr>
                <w:rFonts w:hint="eastAsia" w:ascii="等线" w:hAnsi="等线" w:eastAsia="等线" w:cs="等线"/>
                <w:b/>
                <w:bCs/>
                <w:i w:val="0"/>
                <w:iCs w:val="0"/>
                <w:color w:val="000000"/>
                <w:kern w:val="0"/>
                <w:sz w:val="24"/>
                <w:szCs w:val="24"/>
                <w:u w:val="none"/>
                <w:lang w:val="en-US" w:eastAsia="zh-CN" w:bidi="ar"/>
              </w:rPr>
              <w:t>未完成原因分析</w:t>
            </w:r>
          </w:p>
        </w:tc>
      </w:tr>
      <w:tr w14:paraId="00244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9103">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产出指标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8D5BD">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数量指标</w:t>
            </w:r>
          </w:p>
        </w:tc>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57101">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全年办理证件数量</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139E">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4949">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2F414">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张</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354B5">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167812</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F5DD">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0CE8">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B01C">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58DA0">
            <w:pPr>
              <w:rPr>
                <w:rFonts w:hint="eastAsia" w:ascii="等线" w:hAnsi="等线" w:eastAsia="等线" w:cs="等线"/>
                <w:i w:val="0"/>
                <w:iCs w:val="0"/>
                <w:color w:val="000000"/>
                <w:sz w:val="18"/>
                <w:szCs w:val="18"/>
                <w:u w:val="none"/>
              </w:rPr>
            </w:pPr>
          </w:p>
        </w:tc>
      </w:tr>
      <w:tr w14:paraId="4F5E3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32DB">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产出指标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7D10">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质量指标</w:t>
            </w:r>
          </w:p>
        </w:tc>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3965D">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制证合格率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A5CE">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75DE">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AC0B">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21BC">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A069">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6A69">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4F59">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9615A">
            <w:pPr>
              <w:rPr>
                <w:rFonts w:hint="eastAsia" w:ascii="等线" w:hAnsi="等线" w:eastAsia="等线" w:cs="等线"/>
                <w:i w:val="0"/>
                <w:iCs w:val="0"/>
                <w:color w:val="000000"/>
                <w:sz w:val="18"/>
                <w:szCs w:val="18"/>
                <w:u w:val="none"/>
              </w:rPr>
            </w:pPr>
          </w:p>
        </w:tc>
      </w:tr>
      <w:tr w14:paraId="40749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552B">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产出指标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7A79">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时效指标</w:t>
            </w:r>
          </w:p>
        </w:tc>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A62AD">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制证及时率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ADF6">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1705">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C8E2">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413E">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0BB7">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42D1">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8112">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A451">
            <w:pPr>
              <w:rPr>
                <w:rFonts w:hint="eastAsia" w:ascii="等线" w:hAnsi="等线" w:eastAsia="等线" w:cs="等线"/>
                <w:i w:val="0"/>
                <w:iCs w:val="0"/>
                <w:color w:val="000000"/>
                <w:sz w:val="18"/>
                <w:szCs w:val="18"/>
                <w:u w:val="none"/>
              </w:rPr>
            </w:pPr>
          </w:p>
        </w:tc>
      </w:tr>
      <w:tr w14:paraId="7B97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DBD99">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效益指标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B768">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社会效益指标</w:t>
            </w:r>
          </w:p>
        </w:tc>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20806">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办证量与申请人的需求相符率</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DBC8">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5920">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0ACC">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4721">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FAD3">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F22D">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AE28">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8CC7A">
            <w:pPr>
              <w:rPr>
                <w:rFonts w:hint="eastAsia" w:ascii="等线" w:hAnsi="等线" w:eastAsia="等线" w:cs="等线"/>
                <w:i w:val="0"/>
                <w:iCs w:val="0"/>
                <w:color w:val="000000"/>
                <w:sz w:val="18"/>
                <w:szCs w:val="18"/>
                <w:u w:val="none"/>
              </w:rPr>
            </w:pPr>
          </w:p>
        </w:tc>
      </w:tr>
      <w:tr w14:paraId="66463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2740">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满意度指标</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CB58">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服务对象满意度</w:t>
            </w:r>
          </w:p>
        </w:tc>
        <w:tc>
          <w:tcPr>
            <w:tcW w:w="27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F47E7">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群众满意度</w:t>
            </w:r>
          </w:p>
        </w:tc>
        <w:tc>
          <w:tcPr>
            <w:tcW w:w="8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2CF6">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DB60">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95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3937">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A2F7">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97</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1C9B">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8AD4">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EC63">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A8077">
            <w:pPr>
              <w:rPr>
                <w:rFonts w:hint="eastAsia" w:ascii="等线" w:hAnsi="等线" w:eastAsia="等线" w:cs="等线"/>
                <w:i w:val="0"/>
                <w:iCs w:val="0"/>
                <w:color w:val="000000"/>
                <w:sz w:val="18"/>
                <w:szCs w:val="18"/>
                <w:u w:val="none"/>
              </w:rPr>
            </w:pPr>
          </w:p>
        </w:tc>
      </w:tr>
      <w:tr w14:paraId="75042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1053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9196F7">
            <w:pPr>
              <w:keepNext w:val="0"/>
              <w:keepLines w:val="0"/>
              <w:widowControl/>
              <w:suppressLineNumbers w:val="0"/>
              <w:jc w:val="lef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合计</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2942">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100.00</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B432">
            <w:pPr>
              <w:keepNext w:val="0"/>
              <w:keepLines w:val="0"/>
              <w:widowControl/>
              <w:suppressLineNumbers w:val="0"/>
              <w:jc w:val="right"/>
              <w:textAlignment w:val="center"/>
              <w:rPr>
                <w:rFonts w:hint="eastAsia" w:ascii="等线" w:hAnsi="等线" w:eastAsia="等线" w:cs="等线"/>
                <w:i w:val="0"/>
                <w:iCs w:val="0"/>
                <w:color w:val="000000"/>
                <w:sz w:val="18"/>
                <w:szCs w:val="18"/>
                <w:u w:val="none"/>
              </w:rPr>
            </w:pPr>
            <w:r>
              <w:rPr>
                <w:rFonts w:hint="eastAsia" w:ascii="等线" w:hAnsi="等线" w:eastAsia="等线" w:cs="等线"/>
                <w:i w:val="0"/>
                <w:iCs w:val="0"/>
                <w:color w:val="000000"/>
                <w:kern w:val="0"/>
                <w:sz w:val="18"/>
                <w:szCs w:val="18"/>
                <w:u w:val="none"/>
                <w:lang w:val="en-US" w:eastAsia="zh-CN" w:bidi="ar"/>
              </w:rPr>
              <w:t>96.82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3553A">
            <w:pPr>
              <w:rPr>
                <w:rFonts w:hint="eastAsia" w:ascii="等线" w:hAnsi="等线" w:eastAsia="等线" w:cs="等线"/>
                <w:i w:val="0"/>
                <w:iCs w:val="0"/>
                <w:color w:val="000000"/>
                <w:sz w:val="18"/>
                <w:szCs w:val="18"/>
                <w:u w:val="none"/>
              </w:rPr>
            </w:pPr>
          </w:p>
        </w:tc>
      </w:tr>
    </w:tbl>
    <w:p w14:paraId="319CA05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rPr>
      </w:pPr>
      <w:r>
        <w:rPr>
          <w:rFonts w:hint="eastAsia" w:ascii="仿宋_GB2312" w:eastAsia="仿宋_GB2312"/>
          <w:color w:val="auto"/>
          <w:sz w:val="32"/>
          <w:szCs w:val="32"/>
          <w:lang w:val="en-US" w:eastAsia="zh-CN"/>
        </w:rPr>
        <w:t>证件管理项目</w:t>
      </w:r>
      <w:r>
        <w:rPr>
          <w:rFonts w:hint="eastAsia" w:ascii="仿宋" w:hAnsi="仿宋" w:eastAsia="仿宋" w:cs="仿宋"/>
          <w:sz w:val="32"/>
          <w:szCs w:val="32"/>
        </w:rPr>
        <w:t>绩效自评报告：根据年初设定的绩效目标，项目绩效自评得分为</w:t>
      </w:r>
      <w:r>
        <w:rPr>
          <w:rFonts w:hint="eastAsia" w:ascii="仿宋" w:hAnsi="仿宋" w:eastAsia="仿宋" w:cs="仿宋"/>
          <w:color w:val="auto"/>
          <w:sz w:val="32"/>
          <w:szCs w:val="32"/>
          <w:lang w:val="en-US" w:eastAsia="zh-CN"/>
        </w:rPr>
        <w:t>96.82</w:t>
      </w:r>
      <w:r>
        <w:rPr>
          <w:rFonts w:hint="eastAsia" w:ascii="仿宋" w:hAnsi="仿宋" w:eastAsia="仿宋" w:cs="仿宋"/>
          <w:sz w:val="32"/>
          <w:szCs w:val="32"/>
        </w:rPr>
        <w:t>分。全年预算数为</w:t>
      </w:r>
      <w:r>
        <w:rPr>
          <w:rFonts w:hint="eastAsia" w:ascii="仿宋_GB2312" w:hAnsi="仿宋_GB2312" w:eastAsia="仿宋_GB2312" w:cs="仿宋_GB2312"/>
          <w:b w:val="0"/>
          <w:bCs w:val="0"/>
          <w:sz w:val="32"/>
          <w:szCs w:val="32"/>
          <w:lang w:val="en-US" w:eastAsia="zh-CN"/>
        </w:rPr>
        <w:t>30</w:t>
      </w:r>
      <w:r>
        <w:rPr>
          <w:rFonts w:hint="eastAsia" w:ascii="仿宋" w:hAnsi="仿宋" w:eastAsia="仿宋" w:cs="仿宋"/>
          <w:sz w:val="32"/>
          <w:szCs w:val="32"/>
        </w:rPr>
        <w:t>万元，执行数为</w:t>
      </w:r>
      <w:r>
        <w:rPr>
          <w:rFonts w:hint="eastAsia" w:ascii="仿宋_GB2312" w:hAnsi="仿宋_GB2312" w:eastAsia="仿宋_GB2312" w:cs="仿宋_GB2312"/>
          <w:b w:val="0"/>
          <w:bCs w:val="0"/>
          <w:sz w:val="32"/>
          <w:szCs w:val="32"/>
          <w:lang w:val="en-US" w:eastAsia="zh-CN"/>
        </w:rPr>
        <w:t>20.45</w:t>
      </w:r>
      <w:r>
        <w:rPr>
          <w:rFonts w:hint="eastAsia" w:ascii="仿宋" w:hAnsi="仿宋" w:eastAsia="仿宋" w:cs="仿宋"/>
          <w:sz w:val="32"/>
          <w:szCs w:val="32"/>
        </w:rPr>
        <w:t>万元，完成预算的</w:t>
      </w:r>
      <w:r>
        <w:rPr>
          <w:rFonts w:hint="eastAsia" w:ascii="仿宋_GB2312" w:hAnsi="仿宋_GB2312" w:eastAsia="仿宋_GB2312" w:cs="仿宋_GB2312"/>
          <w:b w:val="0"/>
          <w:bCs w:val="0"/>
          <w:sz w:val="32"/>
          <w:szCs w:val="32"/>
          <w:lang w:val="en-US" w:eastAsia="zh-CN"/>
        </w:rPr>
        <w:t>868.16</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主要原因是证照类耗材成本造价标准化，从源头上压缩了办证成本支出</w:t>
      </w:r>
      <w:r>
        <w:rPr>
          <w:rFonts w:hint="eastAsia" w:ascii="仿宋" w:hAnsi="仿宋" w:eastAsia="仿宋" w:cs="仿宋"/>
          <w:sz w:val="32"/>
          <w:szCs w:val="32"/>
        </w:rPr>
        <w:t>。项目绩效目标完成情况：一是全年办理证件数量</w:t>
      </w:r>
      <w:r>
        <w:rPr>
          <w:rFonts w:hint="eastAsia" w:ascii="仿宋" w:hAnsi="仿宋" w:eastAsia="仿宋" w:cs="仿宋"/>
          <w:sz w:val="32"/>
          <w:szCs w:val="32"/>
          <w:lang w:val="en-US" w:eastAsia="zh-CN"/>
        </w:rPr>
        <w:t>达167812张</w:t>
      </w:r>
      <w:r>
        <w:rPr>
          <w:rFonts w:hint="eastAsia" w:ascii="仿宋" w:hAnsi="仿宋" w:eastAsia="仿宋" w:cs="仿宋"/>
          <w:sz w:val="32"/>
          <w:szCs w:val="32"/>
        </w:rPr>
        <w:t>；二是制证</w:t>
      </w:r>
      <w:r>
        <w:rPr>
          <w:rFonts w:hint="eastAsia" w:ascii="仿宋_GB2312" w:hAnsi="仿宋_GB2312" w:eastAsia="仿宋_GB2312" w:cs="仿宋_GB2312"/>
          <w:sz w:val="32"/>
          <w:szCs w:val="32"/>
          <w:lang w:val="en-US" w:eastAsia="zh-CN"/>
        </w:rPr>
        <w:t>合格率、制证及时率、制证相符情况均等于100%；</w:t>
      </w:r>
      <w:r>
        <w:rPr>
          <w:rFonts w:hint="eastAsia" w:ascii="仿宋" w:hAnsi="仿宋" w:eastAsia="仿宋" w:cs="仿宋"/>
          <w:sz w:val="32"/>
          <w:szCs w:val="32"/>
        </w:rPr>
        <w:t>下一步改进措施：</w:t>
      </w:r>
      <w:r>
        <w:rPr>
          <w:rFonts w:hint="eastAsia" w:ascii="仿宋" w:hAnsi="仿宋" w:eastAsia="仿宋" w:cs="仿宋"/>
          <w:sz w:val="32"/>
          <w:szCs w:val="32"/>
          <w:lang w:val="en-US" w:eastAsia="zh-CN"/>
        </w:rPr>
        <w:t>进一步优化办证办事等部门效率，进一步提高群众满意度</w:t>
      </w:r>
      <w:r>
        <w:rPr>
          <w:rFonts w:hint="eastAsia" w:ascii="仿宋" w:hAnsi="仿宋" w:eastAsia="仿宋" w:cs="仿宋"/>
          <w:sz w:val="32"/>
          <w:szCs w:val="32"/>
        </w:rPr>
        <w:t>。</w:t>
      </w:r>
    </w:p>
    <w:p w14:paraId="50F4DE76">
      <w:pPr>
        <w:keepNext w:val="0"/>
        <w:keepLines w:val="0"/>
        <w:pageBreakBefore w:val="0"/>
        <w:widowControl w:val="0"/>
        <w:numPr>
          <w:ilvl w:val="0"/>
          <w:numId w:val="3"/>
        </w:numPr>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部门评价结果</w:t>
      </w:r>
    </w:p>
    <w:p w14:paraId="207A4EF1">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kern w:val="0"/>
          <w:sz w:val="32"/>
          <w:szCs w:val="32"/>
          <w:highlight w:val="none"/>
          <w:lang w:val="en-US" w:eastAsia="zh-CN" w:bidi="ar"/>
        </w:rPr>
        <w:sectPr>
          <w:pgSz w:w="16838" w:h="11906" w:orient="landscape"/>
          <w:pgMar w:top="1587" w:right="2098" w:bottom="1474" w:left="1300" w:header="851" w:footer="992" w:gutter="0"/>
          <w:cols w:space="720" w:num="1"/>
          <w:docGrid w:type="lines" w:linePitch="312" w:charSpace="0"/>
        </w:sectPr>
      </w:pPr>
      <w:r>
        <w:rPr>
          <w:rFonts w:hint="eastAsia" w:ascii="仿宋_GB2312" w:hAnsi="仿宋_GB2312" w:eastAsia="仿宋_GB2312" w:cs="仿宋_GB2312"/>
          <w:color w:val="auto"/>
          <w:kern w:val="0"/>
          <w:sz w:val="32"/>
          <w:szCs w:val="32"/>
          <w:highlight w:val="none"/>
          <w:lang w:val="en-US" w:eastAsia="zh-CN" w:bidi="ar"/>
        </w:rPr>
        <w:t>对执法办案等项目，在2025年度资金到位及项目完成时效情况总体良好，提高了资金的使用效率，取得显著成效。我部门以绩效评价指标体系为基础，根据已核实准确的资料计算各指标的实际值和得分，目标的合理性、绩效指标的明确性、绩效指标完成率情况良好</w:t>
      </w:r>
    </w:p>
    <w:p w14:paraId="74C43B6D">
      <w:pPr>
        <w:keepNext w:val="0"/>
        <w:keepLines w:val="0"/>
        <w:pageBreakBefore w:val="0"/>
        <w:widowControl w:val="0"/>
        <w:numPr>
          <w:ilvl w:val="0"/>
          <w:numId w:val="0"/>
        </w:numPr>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kern w:val="0"/>
          <w:sz w:val="32"/>
          <w:szCs w:val="32"/>
          <w:highlight w:val="none"/>
          <w:lang w:val="en-US" w:eastAsia="zh-CN" w:bidi="ar"/>
        </w:rPr>
      </w:pPr>
    </w:p>
    <w:p w14:paraId="2488CE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lang w:val="zh-CN"/>
        </w:rPr>
      </w:pPr>
      <w:r>
        <w:rPr>
          <w:rFonts w:hint="eastAsia" w:ascii="黑体" w:hAnsi="黑体" w:eastAsia="黑体" w:cs="黑体"/>
          <w:bCs/>
          <w:sz w:val="32"/>
          <w:szCs w:val="32"/>
          <w:lang w:val="zh-CN"/>
        </w:rPr>
        <w:t>十一、落实习惯过紧日子要求、保障重点支出情况说明</w:t>
      </w:r>
    </w:p>
    <w:p w14:paraId="477AA9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进一步细化关于部门决算收支情况公开信息说明内容，部门应当在财政拨款收支情况说明中全面反映贯彻落实习惯过紧日子要求，2025年主要任务和重点支出等情况。一是在一般公共预算和政府性基金预算支出情况说明中增加贯彻落实习惯过紧日子要求、合理保障重点支出情况说明。参考格式：按照党中央、国务院关于党政机关习惯过紧日子的有关要求，厉行节约办一切事业，严控一般性支出</w:t>
      </w:r>
      <w:r>
        <w:rPr>
          <w:rFonts w:hint="eastAsia" w:ascii="仿宋" w:hAnsi="仿宋" w:eastAsia="仿宋" w:cs="仿宋"/>
          <w:color w:val="auto"/>
          <w:sz w:val="32"/>
          <w:szCs w:val="32"/>
          <w:lang w:val="zh-CN"/>
        </w:rPr>
        <w:t>。同时坚持有保有压，优化支出结构，提高资金使用效率，合理保障</w:t>
      </w:r>
      <w:r>
        <w:rPr>
          <w:rFonts w:hint="eastAsia" w:ascii="仿宋" w:hAnsi="仿宋" w:eastAsia="仿宋" w:cs="仿宋"/>
          <w:color w:val="auto"/>
          <w:sz w:val="32"/>
          <w:szCs w:val="32"/>
          <w:lang w:val="en-US" w:eastAsia="zh-CN"/>
        </w:rPr>
        <w:t>执法办案、刑事侦查、安全警卫、法治环境建设</w:t>
      </w:r>
      <w:r>
        <w:rPr>
          <w:rFonts w:hint="eastAsia" w:ascii="仿宋" w:hAnsi="仿宋" w:eastAsia="仿宋" w:cs="仿宋"/>
          <w:color w:val="auto"/>
          <w:sz w:val="32"/>
          <w:szCs w:val="32"/>
          <w:lang w:val="zh-CN"/>
        </w:rPr>
        <w:t>等重点支出，</w:t>
      </w:r>
      <w:r>
        <w:rPr>
          <w:rFonts w:hint="eastAsia" w:ascii="仿宋" w:hAnsi="仿宋" w:eastAsia="仿宋" w:cs="仿宋"/>
          <w:sz w:val="32"/>
          <w:szCs w:val="32"/>
          <w:lang w:val="zh-CN"/>
        </w:rPr>
        <w:t>体现在有关支出科目中。二是结合部门职责和决算情况等，对2025年</w:t>
      </w:r>
      <w:r>
        <w:rPr>
          <w:rFonts w:hint="eastAsia" w:ascii="仿宋" w:hAnsi="仿宋" w:eastAsia="仿宋" w:cs="仿宋"/>
          <w:color w:val="auto"/>
          <w:sz w:val="32"/>
          <w:szCs w:val="32"/>
          <w:lang w:val="zh-CN"/>
        </w:rPr>
        <w:t>主要任务和支出政策进行说明。参考格式：按照支出功能分类，</w:t>
      </w:r>
      <w:r>
        <w:rPr>
          <w:rFonts w:hint="eastAsia" w:ascii="仿宋" w:hAnsi="仿宋" w:eastAsia="仿宋" w:cs="仿宋"/>
          <w:color w:val="auto"/>
          <w:sz w:val="32"/>
          <w:szCs w:val="32"/>
          <w:lang w:val="en-US" w:eastAsia="zh-CN"/>
        </w:rPr>
        <w:t>公安执法办案侦查</w:t>
      </w:r>
      <w:r>
        <w:rPr>
          <w:rFonts w:hint="eastAsia" w:ascii="仿宋" w:hAnsi="仿宋" w:eastAsia="仿宋" w:cs="仿宋"/>
          <w:sz w:val="32"/>
          <w:szCs w:val="32"/>
          <w:lang w:val="zh-CN"/>
        </w:rPr>
        <w:t>方面的支出规模较大（或占财政拨款支出总额的比重较高），主要是：</w:t>
      </w:r>
      <w:r>
        <w:rPr>
          <w:rFonts w:hint="eastAsia" w:ascii="仿宋" w:hAnsi="仿宋" w:eastAsia="仿宋" w:cs="仿宋"/>
          <w:b/>
          <w:color w:val="auto"/>
          <w:sz w:val="32"/>
          <w:szCs w:val="32"/>
        </w:rPr>
        <w:t>公共安全支出（类）</w:t>
      </w:r>
      <w:r>
        <w:rPr>
          <w:rFonts w:hint="eastAsia" w:ascii="仿宋" w:hAnsi="仿宋" w:eastAsia="仿宋" w:cs="仿宋"/>
          <w:b/>
          <w:sz w:val="32"/>
          <w:szCs w:val="32"/>
        </w:rPr>
        <w:t>公安（款）其他公安支</w:t>
      </w:r>
      <w:r>
        <w:rPr>
          <w:rFonts w:hint="eastAsia" w:ascii="仿宋" w:hAnsi="仿宋" w:eastAsia="仿宋" w:cs="仿宋"/>
          <w:b/>
          <w:color w:val="auto"/>
          <w:sz w:val="32"/>
          <w:szCs w:val="32"/>
        </w:rPr>
        <w:t>出（项）</w:t>
      </w:r>
      <w:r>
        <w:rPr>
          <w:rFonts w:hint="eastAsia" w:ascii="仿宋" w:hAnsi="仿宋" w:eastAsia="仿宋" w:cs="仿宋"/>
          <w:color w:val="auto"/>
          <w:sz w:val="32"/>
          <w:szCs w:val="32"/>
          <w:lang w:val="zh-CN"/>
        </w:rPr>
        <w:t>，2025年度决算数为</w:t>
      </w:r>
      <w:r>
        <w:rPr>
          <w:rFonts w:hint="eastAsia" w:ascii="仿宋" w:hAnsi="仿宋" w:eastAsia="仿宋" w:cs="仿宋"/>
          <w:color w:val="auto"/>
          <w:sz w:val="32"/>
          <w:szCs w:val="32"/>
          <w:lang w:val="en-US" w:eastAsia="zh-CN"/>
        </w:rPr>
        <w:t>6331.94</w:t>
      </w:r>
      <w:r>
        <w:rPr>
          <w:rFonts w:hint="eastAsia" w:ascii="仿宋" w:hAnsi="仿宋" w:eastAsia="仿宋" w:cs="仿宋"/>
          <w:color w:val="auto"/>
          <w:sz w:val="32"/>
          <w:szCs w:val="32"/>
          <w:lang w:val="zh-CN"/>
        </w:rPr>
        <w:t>万元，占财政拨款支出总额的</w:t>
      </w:r>
      <w:r>
        <w:rPr>
          <w:rFonts w:hint="eastAsia" w:ascii="仿宋" w:hAnsi="仿宋" w:eastAsia="仿宋" w:cs="仿宋"/>
          <w:color w:val="auto"/>
          <w:sz w:val="32"/>
          <w:szCs w:val="32"/>
          <w:lang w:val="en-US" w:eastAsia="zh-CN"/>
        </w:rPr>
        <w:t>46.62</w:t>
      </w:r>
      <w:r>
        <w:rPr>
          <w:rFonts w:hint="eastAsia" w:ascii="仿宋" w:hAnsi="仿宋" w:eastAsia="仿宋" w:cs="仿宋"/>
          <w:color w:val="auto"/>
          <w:sz w:val="32"/>
          <w:szCs w:val="32"/>
          <w:lang w:val="zh-CN"/>
        </w:rPr>
        <w:t>%，主要用于</w:t>
      </w:r>
      <w:r>
        <w:rPr>
          <w:rFonts w:hint="eastAsia" w:ascii="仿宋" w:hAnsi="仿宋" w:eastAsia="仿宋" w:cs="仿宋"/>
          <w:color w:val="auto"/>
          <w:sz w:val="32"/>
          <w:szCs w:val="32"/>
          <w:lang w:val="en-US" w:eastAsia="zh-CN"/>
        </w:rPr>
        <w:t>执法办案、刑事侦查、禁毒工作、政治安全稳定、安保警卫</w:t>
      </w:r>
      <w:r>
        <w:rPr>
          <w:rFonts w:hint="eastAsia" w:ascii="仿宋" w:hAnsi="仿宋" w:eastAsia="仿宋" w:cs="仿宋"/>
          <w:color w:val="auto"/>
          <w:sz w:val="32"/>
          <w:szCs w:val="32"/>
          <w:lang w:val="zh-CN"/>
        </w:rPr>
        <w:t>等</w:t>
      </w:r>
      <w:r>
        <w:rPr>
          <w:rFonts w:hint="eastAsia" w:ascii="仿宋" w:hAnsi="仿宋" w:eastAsia="仿宋" w:cs="仿宋"/>
          <w:sz w:val="32"/>
          <w:szCs w:val="32"/>
          <w:lang w:val="zh-CN"/>
        </w:rPr>
        <w:t>方面。</w:t>
      </w:r>
    </w:p>
    <w:p w14:paraId="7FDC302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十</w:t>
      </w:r>
      <w:r>
        <w:rPr>
          <w:rFonts w:hint="eastAsia" w:ascii="黑体" w:hAnsi="黑体" w:eastAsia="黑体" w:cs="黑体"/>
          <w:bCs/>
          <w:sz w:val="32"/>
          <w:szCs w:val="32"/>
          <w:lang w:val="en-US" w:eastAsia="zh-CN"/>
        </w:rPr>
        <w:t>二</w:t>
      </w:r>
      <w:r>
        <w:rPr>
          <w:rFonts w:hint="eastAsia" w:ascii="黑体" w:hAnsi="黑体" w:eastAsia="黑体" w:cs="黑体"/>
          <w:bCs/>
          <w:sz w:val="32"/>
          <w:szCs w:val="32"/>
        </w:rPr>
        <w:t>、其他重要事项情况说明</w:t>
      </w:r>
    </w:p>
    <w:p w14:paraId="42D67D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sz w:val="32"/>
          <w:szCs w:val="32"/>
        </w:rPr>
      </w:pPr>
      <w:bookmarkStart w:id="95" w:name="_Toc23598_WPSOffice_Level2"/>
      <w:bookmarkStart w:id="96" w:name="_Toc15565_WPSOffice_Level2"/>
      <w:bookmarkStart w:id="97" w:name="_Toc18325_WPSOffice_Level2"/>
      <w:bookmarkStart w:id="98" w:name="_Toc5978_WPSOffice_Level2"/>
      <w:bookmarkStart w:id="99" w:name="_Toc15262_WPSOffice_Level2"/>
      <w:bookmarkStart w:id="100" w:name="_Toc32639_WPSOffice_Level2"/>
      <w:r>
        <w:rPr>
          <w:rFonts w:hint="eastAsia" w:ascii="楷体" w:hAnsi="楷体" w:eastAsia="楷体" w:cs="楷体"/>
          <w:bCs/>
          <w:sz w:val="32"/>
          <w:szCs w:val="32"/>
        </w:rPr>
        <w:t>（一）机关运行经费支出情况</w:t>
      </w:r>
      <w:bookmarkEnd w:id="95"/>
      <w:bookmarkEnd w:id="96"/>
      <w:bookmarkEnd w:id="97"/>
      <w:bookmarkEnd w:id="98"/>
      <w:bookmarkEnd w:id="99"/>
      <w:bookmarkEnd w:id="100"/>
    </w:p>
    <w:p w14:paraId="3938F2CB">
      <w:pPr>
        <w:spacing w:line="578"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rPr>
        <w:t>2025</w:t>
      </w:r>
      <w:r>
        <w:rPr>
          <w:rFonts w:hint="eastAsia" w:ascii="仿宋" w:hAnsi="仿宋" w:eastAsia="仿宋" w:cs="仿宋"/>
          <w:color w:val="auto"/>
          <w:sz w:val="32"/>
          <w:szCs w:val="32"/>
        </w:rPr>
        <w:t>年度</w:t>
      </w:r>
      <w:r>
        <w:rPr>
          <w:rFonts w:hint="eastAsia" w:ascii="仿宋" w:hAnsi="仿宋" w:eastAsia="仿宋" w:cs="仿宋"/>
          <w:color w:val="auto"/>
          <w:sz w:val="32"/>
          <w:szCs w:val="32"/>
          <w:lang w:val="en-US" w:eastAsia="zh-CN"/>
        </w:rPr>
        <w:t>三亚市公安局吉阳分局</w:t>
      </w:r>
      <w:r>
        <w:rPr>
          <w:rFonts w:hint="eastAsia" w:ascii="仿宋" w:hAnsi="仿宋" w:eastAsia="仿宋" w:cs="仿宋"/>
          <w:color w:val="auto"/>
          <w:sz w:val="32"/>
          <w:szCs w:val="32"/>
        </w:rPr>
        <w:t>机关运行经费</w:t>
      </w:r>
      <w:r>
        <w:rPr>
          <w:rFonts w:hint="eastAsia" w:ascii="仿宋" w:hAnsi="仿宋" w:eastAsia="仿宋" w:cs="仿宋"/>
          <w:color w:val="auto"/>
          <w:sz w:val="32"/>
          <w:szCs w:val="32"/>
          <w:lang w:val="en-US" w:eastAsia="zh-CN"/>
        </w:rPr>
        <w:t>559.06</w:t>
      </w:r>
      <w:r>
        <w:rPr>
          <w:rFonts w:hint="eastAsia" w:ascii="仿宋" w:hAnsi="仿宋" w:eastAsia="仿宋" w:cs="仿宋"/>
          <w:color w:val="auto"/>
          <w:sz w:val="32"/>
          <w:szCs w:val="32"/>
        </w:rPr>
        <w:t>万元，</w:t>
      </w:r>
      <w:r>
        <w:rPr>
          <w:rFonts w:hint="eastAsia" w:ascii="仿宋" w:hAnsi="仿宋" w:eastAsia="仿宋" w:cs="仿宋"/>
          <w:sz w:val="32"/>
          <w:szCs w:val="32"/>
        </w:rPr>
        <w:t>比年初预算减少</w:t>
      </w:r>
      <w:r>
        <w:rPr>
          <w:rFonts w:hint="eastAsia" w:ascii="仿宋" w:hAnsi="仿宋" w:eastAsia="仿宋" w:cs="仿宋"/>
          <w:sz w:val="32"/>
          <w:szCs w:val="32"/>
          <w:lang w:val="en-US" w:eastAsia="zh-CN"/>
        </w:rPr>
        <w:t>50.09</w:t>
      </w:r>
      <w:r>
        <w:rPr>
          <w:rFonts w:hint="eastAsia" w:ascii="仿宋" w:hAnsi="仿宋" w:eastAsia="仿宋" w:cs="仿宋"/>
          <w:sz w:val="32"/>
          <w:szCs w:val="32"/>
        </w:rPr>
        <w:t>万元，</w:t>
      </w:r>
      <w:r>
        <w:rPr>
          <w:rFonts w:hint="eastAsia" w:ascii="仿宋" w:hAnsi="仿宋" w:eastAsia="仿宋" w:cs="仿宋"/>
          <w:sz w:val="32"/>
          <w:szCs w:val="32"/>
          <w:lang w:val="en-US" w:eastAsia="zh-CN"/>
        </w:rPr>
        <w:t>降低了8.12%</w:t>
      </w:r>
      <w:r>
        <w:rPr>
          <w:rFonts w:hint="eastAsia" w:ascii="仿宋" w:hAnsi="仿宋" w:eastAsia="仿宋" w:cs="仿宋"/>
          <w:sz w:val="32"/>
          <w:szCs w:val="32"/>
          <w:lang w:eastAsia="zh-CN"/>
        </w:rPr>
        <w:t>；</w:t>
      </w:r>
      <w:r>
        <w:rPr>
          <w:rFonts w:hint="eastAsia" w:ascii="仿宋_GB2312" w:hAnsi="ˎ̥" w:eastAsia="仿宋_GB2312"/>
          <w:color w:val="auto"/>
          <w:sz w:val="32"/>
          <w:szCs w:val="32"/>
        </w:rPr>
        <w:t>主要原因是：</w:t>
      </w:r>
      <w:r>
        <w:rPr>
          <w:rFonts w:hint="eastAsia" w:ascii="仿宋_GB2312" w:hAnsi="ˎ̥" w:eastAsia="仿宋_GB2312"/>
          <w:color w:val="auto"/>
          <w:sz w:val="32"/>
          <w:szCs w:val="32"/>
          <w:lang w:bidi="ar"/>
        </w:rPr>
        <w:t>办公设施设备购置经费</w:t>
      </w:r>
      <w:r>
        <w:rPr>
          <w:rFonts w:hint="eastAsia" w:ascii="仿宋_GB2312" w:hAnsi="ˎ̥" w:eastAsia="仿宋_GB2312"/>
          <w:color w:val="auto"/>
          <w:sz w:val="32"/>
          <w:szCs w:val="32"/>
          <w:lang w:eastAsia="zh-CN" w:bidi="ar"/>
        </w:rPr>
        <w:t>、</w:t>
      </w:r>
      <w:r>
        <w:rPr>
          <w:rFonts w:hint="eastAsia" w:ascii="仿宋_GB2312" w:hAnsi="ˎ̥" w:eastAsia="仿宋_GB2312"/>
          <w:color w:val="auto"/>
          <w:sz w:val="32"/>
          <w:szCs w:val="32"/>
          <w:lang w:bidi="ar"/>
        </w:rPr>
        <w:t>资产运行维护减少</w:t>
      </w:r>
      <w:r>
        <w:rPr>
          <w:rFonts w:hint="eastAsia" w:ascii="仿宋_GB2312" w:hAnsi="ˎ̥" w:eastAsia="仿宋_GB2312"/>
          <w:color w:val="auto"/>
          <w:sz w:val="32"/>
          <w:szCs w:val="32"/>
          <w:lang w:eastAsia="zh-CN" w:bidi="ar"/>
        </w:rPr>
        <w:t>、</w:t>
      </w:r>
      <w:r>
        <w:rPr>
          <w:rFonts w:hint="eastAsia" w:ascii="仿宋_GB2312" w:hAnsi="ˎ̥" w:eastAsia="仿宋_GB2312"/>
          <w:color w:val="auto"/>
          <w:sz w:val="32"/>
          <w:szCs w:val="32"/>
          <w:lang w:bidi="ar"/>
        </w:rPr>
        <w:t>落实过紧日子要求压减</w:t>
      </w:r>
      <w:r>
        <w:rPr>
          <w:rFonts w:hint="eastAsia" w:ascii="仿宋_GB2312" w:hAnsi="ˎ̥" w:eastAsia="仿宋_GB2312"/>
          <w:color w:val="auto"/>
          <w:sz w:val="32"/>
          <w:szCs w:val="32"/>
          <w:lang w:val="en-US" w:eastAsia="zh-CN" w:bidi="ar"/>
        </w:rPr>
        <w:t>公用经费</w:t>
      </w:r>
      <w:r>
        <w:rPr>
          <w:rFonts w:hint="eastAsia" w:ascii="仿宋_GB2312" w:hAnsi="ˎ̥" w:eastAsia="仿宋_GB2312"/>
          <w:color w:val="auto"/>
          <w:sz w:val="32"/>
          <w:szCs w:val="32"/>
          <w:lang w:bidi="ar"/>
        </w:rPr>
        <w:t>等</w:t>
      </w:r>
      <w:r>
        <w:rPr>
          <w:rFonts w:hint="eastAsia" w:ascii="仿宋_GB2312" w:hAnsi="ˎ̥" w:eastAsia="仿宋_GB2312"/>
          <w:color w:val="auto"/>
          <w:sz w:val="32"/>
          <w:szCs w:val="32"/>
        </w:rPr>
        <w:t>。</w:t>
      </w:r>
    </w:p>
    <w:p w14:paraId="32FB8A2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bookmarkStart w:id="101" w:name="_Toc3131_WPSOffice_Level2"/>
      <w:bookmarkStart w:id="102" w:name="_Toc30383_WPSOffice_Level2"/>
      <w:bookmarkStart w:id="103" w:name="_Toc25333_WPSOffice_Level2"/>
      <w:bookmarkStart w:id="104" w:name="_Toc23966_WPSOffice_Level2"/>
      <w:bookmarkStart w:id="105" w:name="_Toc32689_WPSOffice_Level2"/>
      <w:bookmarkStart w:id="106" w:name="_Toc13084_WPSOffice_Level2"/>
      <w:r>
        <w:rPr>
          <w:rFonts w:hint="eastAsia" w:ascii="楷体" w:hAnsi="楷体" w:eastAsia="楷体" w:cs="楷体"/>
          <w:bCs/>
          <w:sz w:val="32"/>
          <w:szCs w:val="32"/>
        </w:rPr>
        <w:t>（二）政</w:t>
      </w:r>
      <w:r>
        <w:rPr>
          <w:rFonts w:hint="eastAsia" w:ascii="楷体" w:hAnsi="楷体" w:eastAsia="楷体" w:cs="楷体"/>
          <w:bCs/>
          <w:color w:val="auto"/>
          <w:sz w:val="32"/>
          <w:szCs w:val="32"/>
        </w:rPr>
        <w:t>府采购支出情况</w:t>
      </w:r>
      <w:bookmarkEnd w:id="101"/>
      <w:bookmarkEnd w:id="102"/>
      <w:bookmarkEnd w:id="103"/>
      <w:bookmarkEnd w:id="104"/>
      <w:bookmarkEnd w:id="105"/>
      <w:bookmarkEnd w:id="106"/>
    </w:p>
    <w:p w14:paraId="25335D4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rPr>
        <w:t>2025</w:t>
      </w:r>
      <w:r>
        <w:rPr>
          <w:rFonts w:hint="eastAsia" w:ascii="仿宋" w:hAnsi="仿宋" w:eastAsia="仿宋" w:cs="仿宋"/>
          <w:color w:val="auto"/>
          <w:sz w:val="32"/>
          <w:szCs w:val="32"/>
        </w:rPr>
        <w:t>年度</w:t>
      </w:r>
      <w:r>
        <w:rPr>
          <w:rFonts w:hint="eastAsia" w:ascii="仿宋" w:hAnsi="仿宋" w:eastAsia="仿宋" w:cs="仿宋"/>
          <w:color w:val="auto"/>
          <w:sz w:val="32"/>
          <w:szCs w:val="32"/>
          <w:lang w:val="en-US" w:eastAsia="zh-CN"/>
        </w:rPr>
        <w:t>三亚市公安局吉阳分局</w:t>
      </w:r>
      <w:r>
        <w:rPr>
          <w:rFonts w:hint="eastAsia" w:ascii="仿宋" w:hAnsi="仿宋" w:eastAsia="仿宋" w:cs="仿宋"/>
          <w:color w:val="auto"/>
          <w:sz w:val="32"/>
          <w:szCs w:val="32"/>
        </w:rPr>
        <w:t>政府采购支出总额</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w:t>
      </w:r>
    </w:p>
    <w:p w14:paraId="3061DC4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楷体" w:hAnsi="楷体" w:eastAsia="楷体" w:cs="楷体"/>
          <w:bCs/>
          <w:color w:val="auto"/>
          <w:sz w:val="32"/>
          <w:szCs w:val="32"/>
        </w:rPr>
      </w:pPr>
      <w:bookmarkStart w:id="107" w:name="_Toc10902_WPSOffice_Level2"/>
      <w:bookmarkStart w:id="108" w:name="_Toc15129_WPSOffice_Level2"/>
      <w:bookmarkStart w:id="109" w:name="_Toc19989_WPSOffice_Level2"/>
      <w:bookmarkStart w:id="110" w:name="_Toc29584_WPSOffice_Level2"/>
      <w:bookmarkStart w:id="111" w:name="_Toc527_WPSOffice_Level2"/>
      <w:bookmarkStart w:id="112" w:name="_Toc6016_WPSOffice_Level2"/>
      <w:r>
        <w:rPr>
          <w:rFonts w:hint="eastAsia" w:ascii="楷体" w:hAnsi="楷体" w:eastAsia="楷体" w:cs="楷体"/>
          <w:bCs/>
          <w:color w:val="auto"/>
          <w:sz w:val="32"/>
          <w:szCs w:val="32"/>
        </w:rPr>
        <w:t>（三）国有资产占用情况</w:t>
      </w:r>
      <w:bookmarkEnd w:id="107"/>
      <w:bookmarkEnd w:id="108"/>
      <w:bookmarkEnd w:id="109"/>
      <w:bookmarkEnd w:id="110"/>
      <w:bookmarkEnd w:id="111"/>
      <w:bookmarkEnd w:id="112"/>
    </w:p>
    <w:p w14:paraId="4FC4FE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bCs/>
          <w:color w:val="auto"/>
          <w:sz w:val="32"/>
          <w:szCs w:val="32"/>
        </w:rPr>
        <w:t>截至</w:t>
      </w:r>
      <w:r>
        <w:rPr>
          <w:rFonts w:hint="eastAsia" w:ascii="仿宋" w:hAnsi="仿宋" w:eastAsia="仿宋" w:cs="仿宋"/>
          <w:bCs/>
          <w:color w:val="auto"/>
          <w:sz w:val="32"/>
          <w:szCs w:val="32"/>
          <w:lang w:val="en-US"/>
        </w:rPr>
        <w:t>2025</w:t>
      </w:r>
      <w:r>
        <w:rPr>
          <w:rFonts w:hint="eastAsia" w:ascii="仿宋" w:hAnsi="仿宋" w:eastAsia="仿宋" w:cs="仿宋"/>
          <w:bCs/>
          <w:color w:val="auto"/>
          <w:sz w:val="32"/>
          <w:szCs w:val="32"/>
        </w:rPr>
        <w:t>年12月31日，本部门拥有</w:t>
      </w:r>
      <w:r>
        <w:rPr>
          <w:rFonts w:hint="eastAsia" w:ascii="仿宋" w:hAnsi="仿宋" w:eastAsia="仿宋" w:cs="仿宋"/>
          <w:color w:val="auto"/>
          <w:sz w:val="32"/>
          <w:szCs w:val="32"/>
        </w:rPr>
        <w:t>房屋面积</w:t>
      </w:r>
      <w:r>
        <w:rPr>
          <w:rFonts w:hint="eastAsia" w:ascii="仿宋" w:hAnsi="仿宋" w:eastAsia="仿宋" w:cs="仿宋"/>
          <w:color w:val="auto"/>
          <w:sz w:val="32"/>
          <w:szCs w:val="32"/>
          <w:lang w:val="en-US" w:eastAsia="zh-CN"/>
        </w:rPr>
        <w:t>15602.69</w:t>
      </w:r>
      <w:r>
        <w:rPr>
          <w:rFonts w:hint="eastAsia" w:ascii="仿宋" w:hAnsi="仿宋" w:eastAsia="仿宋" w:cs="仿宋"/>
          <w:color w:val="auto"/>
          <w:sz w:val="32"/>
          <w:szCs w:val="32"/>
        </w:rPr>
        <w:t>平方米</w:t>
      </w:r>
      <w:r>
        <w:rPr>
          <w:rFonts w:hint="eastAsia" w:ascii="仿宋" w:hAnsi="仿宋" w:eastAsia="仿宋" w:cs="仿宋"/>
          <w:color w:val="auto"/>
          <w:sz w:val="32"/>
          <w:szCs w:val="32"/>
          <w:lang w:eastAsia="zh-CN"/>
        </w:rPr>
        <w:t>。</w:t>
      </w:r>
    </w:p>
    <w:p w14:paraId="1E9C756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本部门共有车辆</w:t>
      </w:r>
      <w:r>
        <w:rPr>
          <w:rFonts w:hint="eastAsia" w:ascii="仿宋" w:hAnsi="仿宋" w:eastAsia="仿宋" w:cs="仿宋"/>
          <w:color w:val="auto"/>
          <w:sz w:val="32"/>
          <w:szCs w:val="32"/>
          <w:lang w:val="en-US" w:eastAsia="zh-CN"/>
        </w:rPr>
        <w:t>21</w:t>
      </w:r>
      <w:r>
        <w:rPr>
          <w:rFonts w:hint="eastAsia" w:ascii="仿宋" w:hAnsi="仿宋" w:eastAsia="仿宋" w:cs="仿宋"/>
          <w:color w:val="auto"/>
          <w:sz w:val="32"/>
          <w:szCs w:val="32"/>
        </w:rPr>
        <w:t>辆，执法执勤用车</w:t>
      </w:r>
      <w:r>
        <w:rPr>
          <w:rFonts w:hint="eastAsia" w:ascii="仿宋" w:hAnsi="仿宋" w:eastAsia="仿宋" w:cs="仿宋"/>
          <w:color w:val="auto"/>
          <w:sz w:val="32"/>
          <w:szCs w:val="32"/>
          <w:lang w:val="en-US" w:eastAsia="zh-CN"/>
        </w:rPr>
        <w:t>21</w:t>
      </w:r>
      <w:r>
        <w:rPr>
          <w:rFonts w:hint="eastAsia" w:ascii="仿宋" w:hAnsi="仿宋" w:eastAsia="仿宋" w:cs="仿宋"/>
          <w:color w:val="auto"/>
          <w:sz w:val="32"/>
          <w:szCs w:val="32"/>
        </w:rPr>
        <w:t>辆。</w:t>
      </w:r>
      <w:r>
        <w:rPr>
          <w:rFonts w:hint="eastAsia" w:ascii="仿宋" w:hAnsi="仿宋" w:eastAsia="仿宋" w:cs="仿宋"/>
          <w:color w:val="auto"/>
          <w:sz w:val="32"/>
          <w:szCs w:val="32"/>
          <w:lang w:val="en-US" w:eastAsia="zh-CN"/>
        </w:rPr>
        <w:t xml:space="preserve">     </w:t>
      </w:r>
    </w:p>
    <w:p w14:paraId="20F5AB1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ˎ̥" w:eastAsia="黑体"/>
          <w:sz w:val="32"/>
          <w:szCs w:val="32"/>
        </w:rPr>
      </w:pPr>
      <w:r>
        <w:rPr>
          <w:rFonts w:hint="eastAsia" w:ascii="仿宋" w:hAnsi="仿宋" w:eastAsia="仿宋" w:cs="仿宋"/>
          <w:color w:val="auto"/>
          <w:sz w:val="32"/>
          <w:szCs w:val="32"/>
        </w:rPr>
        <w:t>单价100万元（含）以上设备（不含车辆）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台（套）</w:t>
      </w:r>
      <w:r>
        <w:rPr>
          <w:rFonts w:hint="eastAsia" w:ascii="仿宋" w:hAnsi="仿宋" w:eastAsia="仿宋" w:cs="仿宋"/>
          <w:sz w:val="32"/>
          <w:szCs w:val="32"/>
        </w:rPr>
        <w:t>。</w:t>
      </w:r>
      <w:bookmarkStart w:id="113" w:name="_Toc11039_WPSOffice_Level1"/>
      <w:bookmarkStart w:id="114" w:name="_Toc4398_WPSOffice_Level1"/>
      <w:bookmarkStart w:id="115" w:name="_Toc8808_WPSOffice_Level1"/>
      <w:bookmarkStart w:id="116" w:name="_Toc17580_WPSOffice_Level1"/>
      <w:bookmarkStart w:id="117" w:name="_Toc15425_WPSOffice_Level1"/>
      <w:bookmarkStart w:id="118" w:name="_Toc8874_WPSOffice_Level1"/>
    </w:p>
    <w:p w14:paraId="7D7EA2AD">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r>
        <w:rPr>
          <w:rFonts w:hint="eastAsia" w:ascii="黑体" w:hAnsi="ˎ̥" w:eastAsia="黑体"/>
          <w:sz w:val="32"/>
          <w:szCs w:val="32"/>
        </w:rPr>
        <w:t>第四部分  名词解释</w:t>
      </w:r>
      <w:bookmarkEnd w:id="113"/>
      <w:bookmarkEnd w:id="114"/>
      <w:bookmarkEnd w:id="115"/>
      <w:bookmarkEnd w:id="116"/>
      <w:bookmarkEnd w:id="117"/>
      <w:bookmarkEnd w:id="118"/>
    </w:p>
    <w:p w14:paraId="20DF7197">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sz w:val="32"/>
          <w:szCs w:val="32"/>
        </w:rPr>
      </w:pPr>
    </w:p>
    <w:p w14:paraId="7197CEF9">
      <w:pPr>
        <w:keepNext w:val="0"/>
        <w:keepLines w:val="0"/>
        <w:pageBreakBefore w:val="0"/>
        <w:widowControl w:val="0"/>
        <w:numPr>
          <w:ilvl w:val="0"/>
          <w:numId w:val="4"/>
        </w:numPr>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财政拨款收入：指同级政府财政部门当年拨付的各类财政拨款。</w:t>
      </w:r>
    </w:p>
    <w:p w14:paraId="7DA2B54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二、上级补助收入：指事业单位从主管部门和上级单位取得的非财政补助收入。</w:t>
      </w:r>
    </w:p>
    <w:p w14:paraId="2A93201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三、事业收入：指事业单位开展专业业务活动及辅助活动取得的收入。</w:t>
      </w:r>
    </w:p>
    <w:p w14:paraId="07958E2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四、经营收入：指事业单位在专业业务活动及其辅助活动之外开展非独立核算经营活动取得的收入。</w:t>
      </w:r>
    </w:p>
    <w:p w14:paraId="2092876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五、附属单位上缴收入：指事业单位取得附属独立核算单位根据有关规定上缴的收入。</w:t>
      </w:r>
    </w:p>
    <w:p w14:paraId="2323CEA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六、其他收入：指除上述“财政拨款收入”“事业收入”“上级补助收入”“经营收入”“附属单位上缴收入”等以外的收入。</w:t>
      </w:r>
    </w:p>
    <w:p w14:paraId="4062D03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七、使用非财政拨款结余（含专用结余）：指事业单位在当年的“财政拨款收入”“事业收入”“经营收入”“其他收入”等不足以安排当年支出的情况下，使用非同级财政拨款结余资金弥补本年度收支缺口。</w:t>
      </w:r>
    </w:p>
    <w:p w14:paraId="64AEE7C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八、年初结转和结余：指以前年度尚未完成、结转到本年按有关规定继续使用的资金，或项目已完成等产生的结余资金。</w:t>
      </w:r>
    </w:p>
    <w:p w14:paraId="24D18E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九、结余分配：指事业单位缴纳企业所得税以及从非财政拨款结余或经营结余中提取各类结余的情况。</w:t>
      </w:r>
    </w:p>
    <w:p w14:paraId="5625F05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十、年末结转和结余：指本年度或以前年度预算安排、因客观条件发生变化无法按原计划实施，需要延迟到以后年度按有关规定继续使用的资金（不包括事业单位非财政拨款结余和专用结余）。</w:t>
      </w:r>
    </w:p>
    <w:p w14:paraId="66457CB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十一、基本支出：指为保障机构正常运转、完成日常工作任务而发生的人员支出和公用支出。</w:t>
      </w:r>
    </w:p>
    <w:p w14:paraId="29DCB54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十二、项目支出：指在基本支出之外为完成特定行政任务和事业发展目标所发生的支出。</w:t>
      </w:r>
    </w:p>
    <w:p w14:paraId="2BF293A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十三、经营支出：指事业单位在专业业务活动及其辅助活动之外开展非独立核算经营活动发生的支出。</w:t>
      </w:r>
    </w:p>
    <w:p w14:paraId="4BFE062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十四、“三公”经费：纳入本级财政预决算管理的“三公”经费，是指用一般公共预算财政拨款、政府性基金预算财政拨款及国有资本经营预算财政拨款安排的因公出国（境）费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、公务用车购置及运行维护费和公务接待费。其中，因公出国（境）费</w:t>
      </w:r>
      <w:r>
        <w:rPr>
          <w:rFonts w:hint="eastAsia" w:ascii="仿宋" w:hAnsi="仿宋" w:eastAsia="仿宋" w:cs="仿宋"/>
          <w:sz w:val="32"/>
          <w:szCs w:val="32"/>
          <w:highlight w:val="none"/>
          <w:lang w:eastAsia="zh-CN"/>
        </w:rPr>
        <w:t>用</w:t>
      </w:r>
      <w:r>
        <w:rPr>
          <w:rFonts w:hint="eastAsia" w:ascii="仿宋" w:hAnsi="仿宋" w:eastAsia="仿宋" w:cs="仿宋"/>
          <w:sz w:val="32"/>
          <w:szCs w:val="32"/>
          <w:highlight w:val="none"/>
        </w:rPr>
        <w:t>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14:paraId="670215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14:paraId="76F30C3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十六、支出功能分类：</w:t>
      </w:r>
    </w:p>
    <w:p w14:paraId="6D9EF2F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XXXX（类）XXXX（款）XXXX（项），……；</w:t>
      </w:r>
    </w:p>
    <w:p w14:paraId="35EC19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XXXX（类）XXXX（款）XXXX（项），……</w:t>
      </w:r>
      <w:r>
        <w:rPr>
          <w:rFonts w:hint="eastAsia" w:ascii="仿宋" w:hAnsi="仿宋" w:eastAsia="仿宋" w:cs="仿宋"/>
          <w:sz w:val="32"/>
          <w:szCs w:val="32"/>
          <w:highlight w:val="none"/>
          <w:lang w:eastAsia="zh-CN"/>
        </w:rPr>
        <w:t>。</w:t>
      </w:r>
    </w:p>
    <w:p w14:paraId="670D29B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（注：支出功能分类的名词解释，各</w:t>
      </w:r>
      <w:r>
        <w:rPr>
          <w:rFonts w:hint="eastAsia" w:ascii="仿宋" w:hAnsi="仿宋" w:eastAsia="仿宋" w:cs="仿宋"/>
          <w:sz w:val="32"/>
          <w:szCs w:val="32"/>
          <w:highlight w:val="none"/>
          <w:lang w:eastAsia="zh-CN"/>
        </w:rPr>
        <w:t>预算</w:t>
      </w:r>
      <w:r>
        <w:rPr>
          <w:rFonts w:hint="eastAsia" w:ascii="仿宋" w:hAnsi="仿宋" w:eastAsia="仿宋" w:cs="仿宋"/>
          <w:sz w:val="32"/>
          <w:szCs w:val="32"/>
          <w:highlight w:val="none"/>
        </w:rPr>
        <w:t>部门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单位根据实际支出情况填列，可参阅财政部印发的《202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年政府收支分类科目》</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382C0B44">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pPr>
    </w:p>
    <w:sectPr>
      <w:pgSz w:w="11906" w:h="16838"/>
      <w:pgMar w:top="2098" w:right="1474" w:bottom="130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9E08A">
    <w:pPr>
      <w:pStyle w:val="6"/>
      <w:framePr w:wrap="around" w:vAnchor="text" w:hAnchor="margin" w:xAlign="center" w:y="1"/>
      <w:rPr>
        <w:rStyle w:val="11"/>
        <w:rFonts w:hint="eastAsia" w:ascii="宋体" w:hAnsi="宋体" w:eastAsia="宋体" w:cs="宋体"/>
        <w:sz w:val="28"/>
        <w:szCs w:val="28"/>
      </w:rPr>
    </w:pPr>
    <w:r>
      <w:rPr>
        <w:rFonts w:hint="eastAsia" w:ascii="宋体" w:hAnsi="宋体" w:eastAsia="宋体" w:cs="宋体"/>
        <w:sz w:val="28"/>
        <w:szCs w:val="28"/>
      </w:rPr>
      <w:fldChar w:fldCharType="begin"/>
    </w:r>
    <w:r>
      <w:rPr>
        <w:rStyle w:val="11"/>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18</w:t>
    </w:r>
    <w:r>
      <w:rPr>
        <w:rFonts w:hint="eastAsia" w:ascii="宋体" w:hAnsi="宋体" w:eastAsia="宋体" w:cs="宋体"/>
        <w:sz w:val="28"/>
        <w:szCs w:val="28"/>
      </w:rPr>
      <w:fldChar w:fldCharType="end"/>
    </w:r>
  </w:p>
  <w:p w14:paraId="1BD1ED87">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DE7ABA8A"/>
    <w:multiLevelType w:val="singleLevel"/>
    <w:tmpl w:val="DE7ABA8A"/>
    <w:lvl w:ilvl="0" w:tentative="0">
      <w:start w:val="1"/>
      <w:numFmt w:val="chineseCounting"/>
      <w:suff w:val="nothing"/>
      <w:lvlText w:val="%1、"/>
      <w:lvlJc w:val="left"/>
      <w:rPr>
        <w:rFonts w:hint="eastAsia"/>
      </w:rPr>
    </w:lvl>
  </w:abstractNum>
  <w:abstractNum w:abstractNumId="2">
    <w:nsid w:val="FD70F6B0"/>
    <w:multiLevelType w:val="singleLevel"/>
    <w:tmpl w:val="FD70F6B0"/>
    <w:lvl w:ilvl="0" w:tentative="0">
      <w:start w:val="1"/>
      <w:numFmt w:val="chineseCounting"/>
      <w:suff w:val="nothing"/>
      <w:lvlText w:val="%1、"/>
      <w:lvlJc w:val="left"/>
      <w:rPr>
        <w:rFonts w:hint="eastAsia"/>
      </w:rPr>
    </w:lvl>
  </w:abstractNum>
  <w:abstractNum w:abstractNumId="3">
    <w:nsid w:val="3F2F43AC"/>
    <w:multiLevelType w:val="singleLevel"/>
    <w:tmpl w:val="3F2F43AC"/>
    <w:lvl w:ilvl="0" w:tentative="0">
      <w:start w:val="3"/>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35166A0"/>
    <w:rsid w:val="03AF1619"/>
    <w:rsid w:val="04CB1139"/>
    <w:rsid w:val="06400C4E"/>
    <w:rsid w:val="080B7C62"/>
    <w:rsid w:val="09201287"/>
    <w:rsid w:val="0AF81AF7"/>
    <w:rsid w:val="0B8646CF"/>
    <w:rsid w:val="0F0D0E98"/>
    <w:rsid w:val="0F5B4403"/>
    <w:rsid w:val="0F64775C"/>
    <w:rsid w:val="0FC80124"/>
    <w:rsid w:val="106D0892"/>
    <w:rsid w:val="136F98C7"/>
    <w:rsid w:val="13CC1D73"/>
    <w:rsid w:val="13D66BBD"/>
    <w:rsid w:val="1657072D"/>
    <w:rsid w:val="17427E68"/>
    <w:rsid w:val="1755065F"/>
    <w:rsid w:val="17F378CF"/>
    <w:rsid w:val="189F154F"/>
    <w:rsid w:val="1AFC29C9"/>
    <w:rsid w:val="1CA52F2E"/>
    <w:rsid w:val="1E3630B9"/>
    <w:rsid w:val="1E766B63"/>
    <w:rsid w:val="22FB1D2D"/>
    <w:rsid w:val="2371701C"/>
    <w:rsid w:val="24013373"/>
    <w:rsid w:val="26EEC2B5"/>
    <w:rsid w:val="29472309"/>
    <w:rsid w:val="2B406E77"/>
    <w:rsid w:val="2BF67536"/>
    <w:rsid w:val="2C2A0C43"/>
    <w:rsid w:val="2C895B0F"/>
    <w:rsid w:val="2D1E73A5"/>
    <w:rsid w:val="2D984D48"/>
    <w:rsid w:val="2DAA682A"/>
    <w:rsid w:val="32717154"/>
    <w:rsid w:val="34B63260"/>
    <w:rsid w:val="36934228"/>
    <w:rsid w:val="37FDA7E2"/>
    <w:rsid w:val="389D2A9B"/>
    <w:rsid w:val="3A314D88"/>
    <w:rsid w:val="3A746883"/>
    <w:rsid w:val="3C8A1D00"/>
    <w:rsid w:val="3CA15DE9"/>
    <w:rsid w:val="3D0F0457"/>
    <w:rsid w:val="3DFA2EB5"/>
    <w:rsid w:val="3FD02B45"/>
    <w:rsid w:val="3FE61EE5"/>
    <w:rsid w:val="406508EE"/>
    <w:rsid w:val="408D6263"/>
    <w:rsid w:val="41B40CEE"/>
    <w:rsid w:val="42834F1E"/>
    <w:rsid w:val="45060392"/>
    <w:rsid w:val="46773AE2"/>
    <w:rsid w:val="48317291"/>
    <w:rsid w:val="484D5079"/>
    <w:rsid w:val="485F7024"/>
    <w:rsid w:val="488F68F0"/>
    <w:rsid w:val="48C447EC"/>
    <w:rsid w:val="48E70666"/>
    <w:rsid w:val="4C6877E5"/>
    <w:rsid w:val="4D4E6D7A"/>
    <w:rsid w:val="4D6A468D"/>
    <w:rsid w:val="4EA86137"/>
    <w:rsid w:val="508C7003"/>
    <w:rsid w:val="51DA7627"/>
    <w:rsid w:val="54AB6860"/>
    <w:rsid w:val="54D316E8"/>
    <w:rsid w:val="55384597"/>
    <w:rsid w:val="56031AB3"/>
    <w:rsid w:val="56B81EA5"/>
    <w:rsid w:val="56CA7FD0"/>
    <w:rsid w:val="57832294"/>
    <w:rsid w:val="57FA38D1"/>
    <w:rsid w:val="58174786"/>
    <w:rsid w:val="5A6A4AC7"/>
    <w:rsid w:val="5AB41F66"/>
    <w:rsid w:val="5AB97EAE"/>
    <w:rsid w:val="5D9E1657"/>
    <w:rsid w:val="5F7D3333"/>
    <w:rsid w:val="601D7037"/>
    <w:rsid w:val="61385890"/>
    <w:rsid w:val="63C42535"/>
    <w:rsid w:val="64CC0566"/>
    <w:rsid w:val="66CB4B3F"/>
    <w:rsid w:val="687436E1"/>
    <w:rsid w:val="6A6B4546"/>
    <w:rsid w:val="6A8E20AF"/>
    <w:rsid w:val="6DA45C50"/>
    <w:rsid w:val="6E9A7825"/>
    <w:rsid w:val="6F670F9B"/>
    <w:rsid w:val="737450E0"/>
    <w:rsid w:val="74054476"/>
    <w:rsid w:val="742F38C4"/>
    <w:rsid w:val="74AB66DC"/>
    <w:rsid w:val="74C4154C"/>
    <w:rsid w:val="75956FFF"/>
    <w:rsid w:val="778D20C9"/>
    <w:rsid w:val="77AA2D01"/>
    <w:rsid w:val="783C4637"/>
    <w:rsid w:val="793C6888"/>
    <w:rsid w:val="7CDE1DBD"/>
    <w:rsid w:val="7D943A85"/>
    <w:rsid w:val="7DB0448C"/>
    <w:rsid w:val="7E5F9AA4"/>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widowControl w:val="0"/>
      <w:spacing w:before="480" w:after="120" w:line="400" w:lineRule="atLeast"/>
      <w:ind w:left="0" w:right="0"/>
      <w:jc w:val="left"/>
      <w:outlineLvl w:val="1"/>
    </w:pPr>
    <w:rPr>
      <w:rFonts w:ascii="黑体" w:hAnsi="黑体" w:eastAsia="黑体" w:cs="Times New Roman"/>
      <w:kern w:val="2"/>
      <w:sz w:val="30"/>
      <w:szCs w:val="32"/>
      <w:lang w:val="en-US" w:eastAsia="zh-CN" w:bidi="ar-SA"/>
    </w:rPr>
  </w:style>
  <w:style w:type="paragraph" w:styleId="3">
    <w:name w:val="heading 3"/>
    <w:basedOn w:val="1"/>
    <w:next w:val="1"/>
    <w:qFormat/>
    <w:uiPriority w:val="99"/>
    <w:pPr>
      <w:keepNext/>
      <w:keepLines/>
      <w:spacing w:line="413" w:lineRule="auto"/>
      <w:outlineLvl w:val="2"/>
    </w:pPr>
    <w:rPr>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link w:val="13"/>
    <w:qFormat/>
    <w:uiPriority w:val="0"/>
    <w:pPr>
      <w:jc w:val="left"/>
    </w:p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6"/>
    <w:qFormat/>
    <w:uiPriority w:val="0"/>
    <w:rPr>
      <w:b/>
      <w:bCs/>
    </w:rPr>
  </w:style>
  <w:style w:type="character" w:styleId="11">
    <w:name w:val="page number"/>
    <w:qFormat/>
    <w:uiPriority w:val="0"/>
  </w:style>
  <w:style w:type="character" w:styleId="12">
    <w:name w:val="annotation reference"/>
    <w:qFormat/>
    <w:uiPriority w:val="0"/>
    <w:rPr>
      <w:sz w:val="21"/>
      <w:szCs w:val="21"/>
    </w:rPr>
  </w:style>
  <w:style w:type="character" w:customStyle="1" w:styleId="13">
    <w:name w:val="批注文字 Char"/>
    <w:link w:val="4"/>
    <w:qFormat/>
    <w:uiPriority w:val="0"/>
    <w:rPr>
      <w:kern w:val="2"/>
      <w:sz w:val="21"/>
      <w:szCs w:val="24"/>
    </w:rPr>
  </w:style>
  <w:style w:type="character" w:customStyle="1" w:styleId="14">
    <w:name w:val="批注框文本 Char"/>
    <w:link w:val="5"/>
    <w:qFormat/>
    <w:uiPriority w:val="0"/>
    <w:rPr>
      <w:kern w:val="2"/>
      <w:sz w:val="18"/>
      <w:szCs w:val="18"/>
    </w:rPr>
  </w:style>
  <w:style w:type="character" w:customStyle="1" w:styleId="15">
    <w:name w:val="页眉 Char"/>
    <w:link w:val="7"/>
    <w:qFormat/>
    <w:uiPriority w:val="0"/>
    <w:rPr>
      <w:kern w:val="2"/>
      <w:sz w:val="18"/>
      <w:szCs w:val="18"/>
    </w:rPr>
  </w:style>
  <w:style w:type="character" w:customStyle="1" w:styleId="16">
    <w:name w:val="批注主题 Char"/>
    <w:link w:val="8"/>
    <w:qFormat/>
    <w:uiPriority w:val="0"/>
    <w:rPr>
      <w:b/>
      <w:bCs/>
      <w:kern w:val="2"/>
      <w:sz w:val="21"/>
      <w:szCs w:val="24"/>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Chars="200"/>
    </w:pPr>
    <w:rPr>
      <w:rFonts w:ascii="Times New Roman" w:hAnsi="Times New Roman" w:eastAsia="宋体" w:cs="Times New Roman"/>
      <w:lang w:val="en-US" w:eastAsia="zh-CN" w:bidi="ar-SA"/>
    </w:rPr>
  </w:style>
  <w:style w:type="paragraph" w:customStyle="1" w:styleId="19">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5056</Words>
  <Characters>6079</Characters>
  <Lines>67</Lines>
  <Paragraphs>18</Paragraphs>
  <TotalTime>12</TotalTime>
  <ScaleCrop>false</ScaleCrop>
  <LinksUpToDate>false</LinksUpToDate>
  <CharactersWithSpaces>6118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我唔记啊</cp:lastModifiedBy>
  <cp:lastPrinted>2023-08-03T00:58:00Z</cp:lastPrinted>
  <dcterms:modified xsi:type="dcterms:W3CDTF">2026-10-12T03:18:54Z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7F407A8485C1440A84439E3D5FB5A4BC_13</vt:lpwstr>
  </property>
  <property fmtid="{D5CDD505-2E9C-101B-9397-08002B2CF9AE}" pid="4" name="KSOTemplateDocerSaveRecord">
    <vt:lpwstr>eyJoZGlkIjoiMzEwNTM5NzYwMDRjMzkwZTVkZjY2ODkwMGIxNGU0OTUiLCJ1c2VySWQiOiIzNzk3MTMxMTEifQ==</vt:lpwstr>
  </property>
</Properties>
</file>