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ascii="楷体_GB2312" w:eastAsia="楷体_GB2312"/>
          <w:color w:val="auto"/>
          <w:sz w:val="36"/>
          <w:szCs w:val="36"/>
        </w:rPr>
      </w:pPr>
    </w:p>
    <w:p>
      <w:pPr>
        <w:jc w:val="center"/>
        <w:rPr>
          <w:rFonts w:hint="eastAsia" w:ascii="宋体" w:hAnsi="宋体" w:eastAsia="宋体" w:cs="宋体"/>
          <w:b/>
          <w:bCs w:val="0"/>
          <w:color w:val="auto"/>
          <w:sz w:val="44"/>
          <w:szCs w:val="44"/>
          <w:lang w:val="en-US"/>
        </w:rPr>
      </w:pPr>
      <w:r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  <w:t>三亚市公安局</w:t>
      </w:r>
      <w:r>
        <w:rPr>
          <w:rFonts w:hint="eastAsia" w:ascii="宋体" w:hAnsi="宋体" w:eastAsia="宋体" w:cs="宋体"/>
          <w:b/>
          <w:bCs w:val="0"/>
          <w:color w:val="auto"/>
          <w:sz w:val="44"/>
          <w:szCs w:val="44"/>
          <w:lang w:val="en-US" w:eastAsia="zh-CN"/>
        </w:rPr>
        <w:t>交通</w:t>
      </w:r>
      <w:r>
        <w:rPr>
          <w:rFonts w:hint="eastAsia" w:ascii="宋体" w:hAnsi="宋体" w:cs="宋体"/>
          <w:b/>
          <w:bCs w:val="0"/>
          <w:color w:val="auto"/>
          <w:sz w:val="44"/>
          <w:szCs w:val="44"/>
          <w:lang w:val="en-US" w:eastAsia="zh-CN"/>
        </w:rPr>
        <w:t>管理</w:t>
      </w:r>
      <w:r>
        <w:rPr>
          <w:rFonts w:hint="eastAsia" w:ascii="宋体" w:hAnsi="宋体" w:eastAsia="宋体" w:cs="宋体"/>
          <w:b/>
          <w:bCs w:val="0"/>
          <w:color w:val="auto"/>
          <w:sz w:val="44"/>
          <w:szCs w:val="44"/>
          <w:lang w:val="en-US" w:eastAsia="zh-CN"/>
        </w:rPr>
        <w:t>支队</w:t>
      </w:r>
    </w:p>
    <w:p>
      <w:pPr>
        <w:jc w:val="center"/>
        <w:rPr>
          <w:rFonts w:hint="eastAsia" w:ascii="宋体" w:hAnsi="宋体" w:eastAsia="宋体" w:cs="宋体"/>
          <w:b/>
          <w:bCs w:val="0"/>
          <w:color w:val="auto"/>
          <w:kern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44"/>
          <w:szCs w:val="44"/>
          <w:lang w:eastAsia="zh-CN"/>
        </w:rPr>
        <w:t>20</w:t>
      </w:r>
      <w:r>
        <w:rPr>
          <w:rFonts w:hint="eastAsia" w:ascii="宋体" w:hAnsi="宋体" w:eastAsia="宋体" w:cs="宋体"/>
          <w:b/>
          <w:bCs w:val="0"/>
          <w:color w:val="auto"/>
          <w:kern w:val="0"/>
          <w:sz w:val="44"/>
          <w:szCs w:val="44"/>
          <w:lang w:val="en-US" w:eastAsia="zh-CN"/>
        </w:rPr>
        <w:t>2</w:t>
      </w:r>
      <w:r>
        <w:rPr>
          <w:rFonts w:hint="eastAsia" w:ascii="宋体" w:hAnsi="宋体" w:cs="宋体"/>
          <w:b/>
          <w:bCs w:val="0"/>
          <w:color w:val="auto"/>
          <w:kern w:val="0"/>
          <w:sz w:val="44"/>
          <w:szCs w:val="44"/>
          <w:lang w:val="en-US" w:eastAsia="zh-CN"/>
        </w:rPr>
        <w:t>5</w:t>
      </w:r>
      <w:r>
        <w:rPr>
          <w:rFonts w:hint="eastAsia" w:ascii="宋体" w:hAnsi="宋体" w:eastAsia="宋体" w:cs="宋体"/>
          <w:b/>
          <w:bCs w:val="0"/>
          <w:color w:val="auto"/>
          <w:kern w:val="0"/>
          <w:sz w:val="44"/>
          <w:szCs w:val="44"/>
          <w:lang w:eastAsia="zh-CN"/>
        </w:rPr>
        <w:t>年</w:t>
      </w:r>
      <w:r>
        <w:rPr>
          <w:rFonts w:hint="eastAsia" w:ascii="宋体" w:hAnsi="宋体" w:eastAsia="宋体" w:cs="宋体"/>
          <w:b/>
          <w:bCs w:val="0"/>
          <w:color w:val="auto"/>
          <w:kern w:val="0"/>
          <w:sz w:val="44"/>
          <w:szCs w:val="44"/>
        </w:rPr>
        <w:t>度办公场所运维经费</w:t>
      </w:r>
    </w:p>
    <w:p>
      <w:pPr>
        <w:jc w:val="center"/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44"/>
          <w:szCs w:val="44"/>
        </w:rPr>
        <w:t>项目</w:t>
      </w:r>
      <w:r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  <w:t>绩效自评报告</w:t>
      </w:r>
    </w:p>
    <w:p>
      <w:pPr>
        <w:jc w:val="center"/>
        <w:rPr>
          <w:rFonts w:hint="eastAsia" w:ascii="仿宋" w:hAnsi="仿宋" w:eastAsia="仿宋" w:cs="仿宋"/>
          <w:b/>
          <w:bCs w:val="0"/>
          <w:color w:val="auto"/>
          <w:kern w:val="0"/>
          <w:sz w:val="52"/>
          <w:szCs w:val="52"/>
        </w:rPr>
      </w:pPr>
    </w:p>
    <w:p>
      <w:pPr>
        <w:jc w:val="center"/>
        <w:rPr>
          <w:rFonts w:hint="eastAsia" w:ascii="仿宋" w:hAnsi="仿宋" w:eastAsia="仿宋" w:cs="仿宋"/>
          <w:b w:val="0"/>
          <w:bCs/>
          <w:color w:val="auto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b w:val="0"/>
          <w:bCs/>
          <w:color w:val="auto"/>
          <w:sz w:val="44"/>
          <w:szCs w:val="44"/>
        </w:rPr>
      </w:pPr>
    </w:p>
    <w:p>
      <w:pPr>
        <w:jc w:val="both"/>
        <w:rPr>
          <w:rFonts w:hint="eastAsia" w:ascii="仿宋" w:hAnsi="仿宋" w:eastAsia="仿宋" w:cs="仿宋"/>
          <w:b w:val="0"/>
          <w:bCs/>
          <w:color w:val="auto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b w:val="0"/>
          <w:bCs/>
          <w:color w:val="auto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b w:val="0"/>
          <w:bCs/>
          <w:color w:val="auto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b w:val="0"/>
          <w:bCs/>
          <w:color w:val="auto"/>
          <w:sz w:val="44"/>
          <w:szCs w:val="44"/>
        </w:rPr>
      </w:pPr>
    </w:p>
    <w:p>
      <w:pPr>
        <w:jc w:val="both"/>
        <w:rPr>
          <w:rFonts w:hint="eastAsia" w:ascii="仿宋" w:hAnsi="仿宋" w:eastAsia="仿宋" w:cs="仿宋"/>
          <w:b w:val="0"/>
          <w:bCs/>
          <w:color w:val="auto"/>
          <w:sz w:val="44"/>
          <w:szCs w:val="44"/>
        </w:rPr>
      </w:pPr>
    </w:p>
    <w:p>
      <w:pPr>
        <w:jc w:val="both"/>
        <w:rPr>
          <w:rFonts w:hint="eastAsia" w:ascii="仿宋" w:hAnsi="仿宋" w:eastAsia="仿宋" w:cs="仿宋"/>
          <w:b w:val="0"/>
          <w:bCs/>
          <w:color w:val="auto"/>
          <w:sz w:val="44"/>
          <w:szCs w:val="44"/>
        </w:rPr>
      </w:pPr>
    </w:p>
    <w:p>
      <w:pPr>
        <w:jc w:val="both"/>
        <w:rPr>
          <w:rFonts w:hint="eastAsia" w:ascii="仿宋" w:hAnsi="仿宋" w:eastAsia="仿宋" w:cs="仿宋"/>
          <w:b w:val="0"/>
          <w:bCs/>
          <w:color w:val="auto"/>
          <w:sz w:val="44"/>
          <w:szCs w:val="44"/>
        </w:rPr>
      </w:pPr>
    </w:p>
    <w:p>
      <w:pPr>
        <w:jc w:val="both"/>
        <w:rPr>
          <w:rFonts w:hint="eastAsia" w:ascii="仿宋" w:hAnsi="仿宋" w:eastAsia="仿宋" w:cs="仿宋"/>
          <w:b w:val="0"/>
          <w:bCs/>
          <w:color w:val="auto"/>
          <w:sz w:val="44"/>
          <w:szCs w:val="44"/>
        </w:rPr>
      </w:pPr>
    </w:p>
    <w:p>
      <w:pPr>
        <w:jc w:val="both"/>
        <w:rPr>
          <w:rFonts w:hint="eastAsia" w:ascii="仿宋" w:hAnsi="仿宋" w:eastAsia="仿宋" w:cs="仿宋"/>
          <w:b w:val="0"/>
          <w:bCs/>
          <w:color w:val="auto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b w:val="0"/>
          <w:bCs/>
          <w:color w:val="auto"/>
          <w:sz w:val="44"/>
          <w:szCs w:val="44"/>
        </w:rPr>
      </w:pPr>
    </w:p>
    <w:p>
      <w:pPr>
        <w:rPr>
          <w:rFonts w:hint="eastAsia" w:ascii="仿宋" w:hAnsi="仿宋" w:eastAsia="仿宋" w:cs="仿宋"/>
          <w:b w:val="0"/>
          <w:bCs/>
          <w:color w:val="auto"/>
          <w:sz w:val="44"/>
          <w:szCs w:val="44"/>
        </w:rPr>
      </w:pPr>
    </w:p>
    <w:p>
      <w:pPr>
        <w:jc w:val="center"/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</w:rPr>
        <w:t>三亚市公安局</w:t>
      </w: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val="en-US" w:eastAsia="zh-CN"/>
        </w:rPr>
        <w:t>交通</w:t>
      </w:r>
      <w:r>
        <w:rPr>
          <w:rFonts w:hint="eastAsia" w:ascii="宋体" w:hAnsi="宋体" w:cs="宋体"/>
          <w:b/>
          <w:bCs w:val="0"/>
          <w:color w:val="auto"/>
          <w:sz w:val="32"/>
          <w:szCs w:val="32"/>
          <w:lang w:val="en-US" w:eastAsia="zh-CN"/>
        </w:rPr>
        <w:t>管理</w:t>
      </w: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val="en-US" w:eastAsia="zh-CN"/>
        </w:rPr>
        <w:t>支队</w:t>
      </w:r>
    </w:p>
    <w:p>
      <w:pPr>
        <w:jc w:val="center"/>
        <w:rPr>
          <w:rFonts w:hint="eastAsia" w:ascii="宋体" w:hAnsi="宋体" w:eastAsia="宋体" w:cs="宋体"/>
          <w:b/>
          <w:bCs w:val="0"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</w:rPr>
        <w:t>二0</w:t>
      </w: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t>二</w:t>
      </w:r>
      <w:r>
        <w:rPr>
          <w:rFonts w:hint="eastAsia" w:ascii="宋体" w:hAnsi="宋体" w:cs="宋体"/>
          <w:b/>
          <w:bCs w:val="0"/>
          <w:color w:val="auto"/>
          <w:sz w:val="32"/>
          <w:szCs w:val="32"/>
          <w:lang w:val="en-US" w:eastAsia="zh-CN"/>
        </w:rPr>
        <w:t>六</w:t>
      </w: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</w:rPr>
        <w:t>年</w:t>
      </w:r>
      <w:r>
        <w:rPr>
          <w:rFonts w:hint="eastAsia" w:ascii="宋体" w:hAnsi="宋体" w:cs="宋体"/>
          <w:b/>
          <w:bCs w:val="0"/>
          <w:color w:val="auto"/>
          <w:sz w:val="32"/>
          <w:szCs w:val="32"/>
          <w:lang w:val="en-US" w:eastAsia="zh-CN"/>
        </w:rPr>
        <w:t>四</w:t>
      </w: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</w:rPr>
        <w:t>月</w:t>
      </w:r>
    </w:p>
    <w:p>
      <w:pPr>
        <w:jc w:val="center"/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right="0" w:rightChars="0" w:firstLine="640" w:firstLineChars="200"/>
        <w:jc w:val="both"/>
        <w:textAlignment w:val="auto"/>
        <w:rPr>
          <w:b/>
          <w:bCs/>
          <w:color w:val="auto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color w:val="auto"/>
          <w:sz w:val="32"/>
          <w:szCs w:val="32"/>
        </w:rPr>
        <w:t>一、项目概况 </w:t>
      </w:r>
      <w:r>
        <w:rPr>
          <w:rFonts w:ascii="黑体" w:hAnsi="宋体" w:eastAsia="黑体" w:cs="黑体"/>
          <w:b/>
          <w:bCs/>
          <w:color w:val="auto"/>
          <w:sz w:val="31"/>
          <w:szCs w:val="31"/>
        </w:rPr>
        <w:t xml:space="preserve">   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600" w:lineRule="exact"/>
        <w:ind w:left="0" w:leftChars="0" w:right="0" w:rightChars="0" w:firstLine="643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（一）项目基本情况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项目名称：办公场所运维经费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实施主体：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三亚市公安局交通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管理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支队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主管部门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三亚市公安局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="0" w:beforeAutospacing="0" w:after="0" w:afterAutospacing="0" w:line="360" w:lineRule="auto"/>
        <w:ind w:left="0" w:right="0" w:righ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项目负责人：</w:t>
      </w:r>
      <w:r>
        <w:rPr>
          <w:rFonts w:ascii="仿宋_GB2312" w:hAnsi="宋体" w:eastAsia="仿宋_GB2312" w:cs="仿宋_GB2312"/>
          <w:sz w:val="31"/>
          <w:szCs w:val="31"/>
        </w:rPr>
        <w:t>文鹏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="0" w:beforeAutospacing="0" w:after="0" w:afterAutospacing="0" w:line="360" w:lineRule="auto"/>
        <w:ind w:left="0" w:right="0" w:rightChars="0"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联系电话：88869110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color w:val="auto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项目资金及主要内容：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2025年项目预算1049.96万元，其中市财政预算1049.96万元。该项目用于2025年度我支队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办公场所运维经费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开支。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600" w:lineRule="exact"/>
        <w:ind w:left="0" w:leftChars="0" w:right="0" w:rightChars="0" w:firstLine="643" w:firstLineChars="200"/>
        <w:jc w:val="left"/>
        <w:textAlignment w:val="auto"/>
        <w:outlineLvl w:val="9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（二）项目年度预算绩效目标和绩效指标设定情况</w:t>
      </w:r>
      <w:r>
        <w:rPr>
          <w:rFonts w:hint="default" w:ascii="黑体" w:hAnsi="黑体" w:eastAsia="黑体" w:cs="黑体"/>
          <w:color w:val="auto"/>
          <w:sz w:val="32"/>
          <w:szCs w:val="32"/>
        </w:rPr>
        <w:t xml:space="preserve">  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2025年年度目标是保障办公楼正常运转，做好保安、卫生保洁、绿化等工作，给办公人员提供干净整洁环境。绩效指标设定如下：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绩效指标：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1.产出指标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数量指标：办公楼办公面积大于等于7000平方米；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质量指标：办公场所干净整洁率大于等于95%；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时效指标：资金及时支付小于等于3个工作日；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效益指标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社会效益指标：办公楼正常运转率大于等于90%；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满意度指标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工作人员满意度大于等于90%。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right="0" w:rightChars="0" w:firstLine="643" w:firstLineChars="200"/>
        <w:textAlignment w:val="auto"/>
        <w:rPr>
          <w:b/>
          <w:bCs/>
          <w:color w:val="auto"/>
          <w:sz w:val="32"/>
          <w:szCs w:val="32"/>
        </w:rPr>
      </w:pPr>
      <w:r>
        <w:rPr>
          <w:rFonts w:hint="eastAsia" w:ascii="黑体" w:hAnsi="宋体" w:eastAsia="黑体" w:cs="黑体"/>
          <w:b/>
          <w:bCs/>
          <w:color w:val="auto"/>
          <w:sz w:val="32"/>
          <w:szCs w:val="32"/>
        </w:rPr>
        <w:t>二、项目决策及资金使用管理情况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600" w:lineRule="exact"/>
        <w:ind w:left="0" w:leftChars="0" w:right="0" w:rightChars="0" w:firstLine="643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（一）项目决策情况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1.项目决策方面：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该项目立项依据充分、过程规范，立项内容符合国家政策、发展规划要求；项目预算编制科学合理，预算内容符合项目实际需求，预算额度测算依据充分。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项目过程方面：该项目过程执行规范，资金制度健全，审批程序和手续完整，资金使用符合国家财经法规和《三亚市公安局交通管理支队财务管理规定》。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仿宋" w:hAnsi="仿宋" w:eastAsia="仿宋" w:cs="仿宋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项目产出方面：在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该项目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资金的大力支持下，保障了支队办公人员工作需求，达到了优质服务群众的效果。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600" w:lineRule="exact"/>
        <w:ind w:left="0" w:leftChars="0" w:right="0" w:rightChars="0" w:firstLine="643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（二）项目资金（包括财政资金、自筹资金等）安排落实、总投入等情况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仿宋" w:hAnsi="仿宋" w:eastAsia="仿宋" w:cs="仿宋"/>
          <w:b w:val="0"/>
          <w:bCs/>
          <w:color w:val="auto"/>
          <w:sz w:val="32"/>
          <w:szCs w:val="32"/>
          <w:lang w:eastAsia="zh-CN"/>
        </w:rPr>
      </w:pPr>
      <w:r>
        <w:rPr>
          <w:rFonts w:hint="default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预算情况如下：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仿宋" w:hAnsi="仿宋" w:eastAsia="仿宋" w:cs="仿宋"/>
          <w:b w:val="0"/>
          <w:bCs/>
          <w:color w:val="auto"/>
          <w:sz w:val="32"/>
          <w:szCs w:val="32"/>
          <w:lang w:eastAsia="zh-CN"/>
        </w:rPr>
      </w:pPr>
      <w:r>
        <w:rPr>
          <w:rFonts w:hint="default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资金总额-年初预算数1049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.</w:t>
      </w:r>
      <w:r>
        <w:rPr>
          <w:rFonts w:hint="default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96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万</w:t>
      </w:r>
      <w:r>
        <w:rPr>
          <w:rFonts w:hint="default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元，资金总额-全年预算数258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.</w:t>
      </w:r>
      <w:r>
        <w:rPr>
          <w:rFonts w:hint="default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22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万</w:t>
      </w:r>
      <w:r>
        <w:rPr>
          <w:rFonts w:hint="default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元，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仿宋" w:hAnsi="仿宋" w:eastAsia="仿宋" w:cs="仿宋"/>
          <w:b w:val="0"/>
          <w:bCs/>
          <w:color w:val="auto"/>
          <w:sz w:val="32"/>
          <w:szCs w:val="32"/>
          <w:lang w:eastAsia="zh-CN"/>
        </w:rPr>
      </w:pPr>
      <w:r>
        <w:rPr>
          <w:rFonts w:hint="default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财政资金-年初预算数1049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.</w:t>
      </w:r>
      <w:r>
        <w:rPr>
          <w:rFonts w:hint="default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96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万</w:t>
      </w:r>
      <w:r>
        <w:rPr>
          <w:rFonts w:hint="default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元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，</w:t>
      </w:r>
      <w:r>
        <w:rPr>
          <w:rFonts w:hint="default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财政资金-全年预算数258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.</w:t>
      </w:r>
      <w:r>
        <w:rPr>
          <w:rFonts w:hint="default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22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万</w:t>
      </w:r>
      <w:r>
        <w:rPr>
          <w:rFonts w:hint="default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元，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仿宋" w:hAnsi="仿宋" w:eastAsia="仿宋" w:cs="仿宋"/>
          <w:b w:val="0"/>
          <w:bCs/>
          <w:color w:val="auto"/>
          <w:sz w:val="32"/>
          <w:szCs w:val="32"/>
          <w:lang w:eastAsia="zh-CN"/>
        </w:rPr>
      </w:pPr>
      <w:r>
        <w:rPr>
          <w:rFonts w:hint="default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专户-年初预算数0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万</w:t>
      </w:r>
      <w:r>
        <w:rPr>
          <w:rFonts w:hint="default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元，专户全年预算数0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万</w:t>
      </w:r>
      <w:r>
        <w:rPr>
          <w:rFonts w:hint="default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元，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仿宋" w:hAnsi="仿宋" w:eastAsia="仿宋" w:cs="仿宋"/>
          <w:b w:val="0"/>
          <w:bCs/>
          <w:color w:val="auto"/>
          <w:sz w:val="32"/>
          <w:szCs w:val="32"/>
          <w:lang w:eastAsia="zh-CN"/>
        </w:rPr>
      </w:pPr>
      <w:r>
        <w:rPr>
          <w:rFonts w:hint="default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单位年初预算数0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万</w:t>
      </w:r>
      <w:r>
        <w:rPr>
          <w:rFonts w:hint="default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元，单位全年预算数0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万</w:t>
      </w:r>
      <w:r>
        <w:rPr>
          <w:rFonts w:hint="default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元。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right="0" w:rightChars="0" w:firstLine="643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项目资金（主要是指财政资金）实际使用情况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1.</w:t>
      </w:r>
      <w:r>
        <w:rPr>
          <w:rFonts w:hint="default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资金执行情况如下：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资金总额-全年执行数</w:t>
      </w:r>
      <w:r>
        <w:rPr>
          <w:rFonts w:hint="default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258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.</w:t>
      </w:r>
      <w:r>
        <w:rPr>
          <w:rFonts w:hint="default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22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万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元，资金总额-执行率100.00%，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其中：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财政资金-全年执行数</w:t>
      </w:r>
      <w:r>
        <w:rPr>
          <w:rFonts w:hint="default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258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.</w:t>
      </w:r>
      <w:r>
        <w:rPr>
          <w:rFonts w:hint="default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22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万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元，财政资金-执行率100.00%，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专户全年执行数0万元，专户-执行率0%，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单位全年执行数0万</w:t>
      </w:r>
      <w:bookmarkStart w:id="5" w:name="_GoBack"/>
      <w:bookmarkEnd w:id="5"/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元，单位全年执行率0.00%。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项目资金使用情况分析：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截至2025年4月30日，该项目实际支出258.22万元，支出执行率100%，已全部支付完成。该项目资金主要用于</w:t>
      </w:r>
      <w:r>
        <w:rPr>
          <w:rFonts w:ascii="仿宋_GB2312" w:hAnsi="宋体" w:eastAsia="仿宋_GB2312" w:cs="仿宋_GB2312"/>
          <w:sz w:val="31"/>
          <w:szCs w:val="31"/>
        </w:rPr>
        <w:t>保障办公楼正常运转，做好保安、卫生保洁、绿化等工作，给办公人员提供干净整洁环境。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600" w:lineRule="exact"/>
        <w:ind w:left="0" w:leftChars="0" w:right="0" w:rightChars="0" w:firstLine="643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32"/>
          <w:szCs w:val="32"/>
          <w:lang w:val="en-US" w:eastAsia="zh-CN"/>
        </w:rPr>
        <w:t>（四）项目资金管理情况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项目资金由支队和市财政局统一管理。严格遵守《三亚市公安局交通管理支队财务管理规定》规定，按照支队资金财务审批流程办理款项结算。经费报销单分别由经办人员签字、验证人签字、财务部门负责人签字及分管财务支队领导签字准予报销后，方可进行经费报销。款项结算过程中，重点加强对资金支出合理性审核，禁止超标准、超范围支出；加强对资金支出单据审核，重点审核资金支出单据是否齐全，是否按照合同约定付款，是否按规定进行验收，符合预算评审标准的项目是否经评审中心评审，需按规定审计的项目是否按规定进行审计等。通过对资金的严格管理，极力避免挪用、挤占、截留项目资金的现象，保证财政资金安全有效使用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600" w:lineRule="exact"/>
        <w:ind w:left="0" w:leftChars="0" w:right="0" w:rightChars="0" w:firstLine="643" w:firstLineChars="200"/>
        <w:jc w:val="left"/>
        <w:textAlignment w:val="auto"/>
        <w:outlineLvl w:val="9"/>
        <w:rPr>
          <w:b/>
          <w:bCs/>
          <w:color w:val="auto"/>
          <w:sz w:val="32"/>
          <w:szCs w:val="32"/>
        </w:rPr>
      </w:pPr>
      <w:r>
        <w:rPr>
          <w:rFonts w:hint="eastAsia" w:ascii="黑体" w:hAnsi="宋体" w:eastAsia="黑体" w:cs="黑体"/>
          <w:b/>
          <w:bCs/>
          <w:color w:val="auto"/>
          <w:sz w:val="32"/>
          <w:szCs w:val="32"/>
          <w:lang w:val="en-US" w:eastAsia="zh-CN"/>
        </w:rPr>
        <w:t>三、项目组织实</w:t>
      </w:r>
      <w:r>
        <w:rPr>
          <w:rFonts w:hint="eastAsia" w:ascii="黑体" w:hAnsi="宋体" w:eastAsia="黑体" w:cs="黑体"/>
          <w:b/>
          <w:bCs/>
          <w:color w:val="auto"/>
          <w:sz w:val="32"/>
          <w:szCs w:val="32"/>
        </w:rPr>
        <w:t>施情况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lang w:val="en-US" w:eastAsia="zh-CN" w:bidi="ar"/>
        </w:rPr>
        <w:t>（一）项目组织情况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color w:val="auto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项目组织实施严格按照市财政局的工作部署，年初编制预算项目绩效目标申报表，每季度编制项目绩效监控，年末开展项目绩效自评，并编制年度项目绩效评价报告，全年工作任务进行分阶段管理，明确组织实施措施和策略，有效保证工作的正常有序开展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right="0" w:rightChars="0" w:firstLine="643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项目管理情况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1.制度建设情况。为了保障财务与资金平稳运行，我支队制定并印发了《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三亚市公安局交通管理支队财务管理规定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》，明确了包含收支管理、资产管理、报账管理等措施。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color w:val="auto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2.项目实施情况。我支队严格按照公安经费保障的各项要求，确保专款专用，该项目主要用于各业务部门日常工作的经费需求，严格按照支出范围报销，严把审核关。经费报销单分别由经办人员签字、验证人签字、财务部门负责人签字及分管财务支队领导签字准予报销后，方可进行经费报销。该项目资金的支付，严格执行财务制度，落实项目资金审核程序，做到了资金到位及时，支出程序规范。所有的经费都严格按照《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三亚市公安局交通管理支队财务管理规定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》执行。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right="0" w:rightChars="0" w:firstLine="643" w:firstLineChars="200"/>
        <w:textAlignment w:val="auto"/>
        <w:rPr>
          <w:b/>
          <w:bCs/>
          <w:color w:val="auto"/>
          <w:sz w:val="32"/>
          <w:szCs w:val="32"/>
        </w:rPr>
      </w:pPr>
      <w:r>
        <w:rPr>
          <w:rFonts w:hint="eastAsia" w:ascii="黑体" w:hAnsi="宋体" w:eastAsia="黑体" w:cs="黑体"/>
          <w:b/>
          <w:bCs/>
          <w:color w:val="auto"/>
          <w:sz w:val="32"/>
          <w:szCs w:val="32"/>
        </w:rPr>
        <w:t>四、项目绩效情况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lang w:val="en-US" w:eastAsia="zh-CN" w:bidi="ar"/>
        </w:rPr>
        <w:t>（一）项目绩效目标完成情况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项目绩效目标完成情况良好。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right="0" w:rightChars="0" w:firstLine="643" w:firstLineChars="200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lang w:val="en-US" w:eastAsia="zh-CN" w:bidi="ar"/>
        </w:rPr>
        <w:t>项目绩效目标未完成情况及原因分析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仿宋" w:hAnsi="仿宋" w:eastAsia="仿宋" w:cs="仿宋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根据市财政局《关于开展2026年市县预算绩效管理工作的通知》（三财[2026]177号）精神要求，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结合项目绩效指标完成情况及对项目成本、项目效率、部门绩效目标实现的综合分析，本项目绩效自评得分100分，项目实施基本达到预期效果。（详见：三亚市公安局交通管理支队2025年办公场所运维经费项目支出绩效自评表）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right="0" w:rightChars="0" w:firstLine="643" w:firstLineChars="200"/>
        <w:textAlignment w:val="auto"/>
        <w:rPr>
          <w:b/>
          <w:bCs/>
          <w:color w:val="auto"/>
          <w:sz w:val="32"/>
          <w:szCs w:val="32"/>
        </w:rPr>
      </w:pPr>
      <w:r>
        <w:rPr>
          <w:rFonts w:hint="eastAsia" w:ascii="黑体" w:hAnsi="宋体" w:eastAsia="黑体" w:cs="黑体"/>
          <w:b/>
          <w:bCs/>
          <w:color w:val="auto"/>
          <w:sz w:val="32"/>
          <w:szCs w:val="32"/>
        </w:rPr>
        <w:t>五、其他需要说明的问题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600" w:lineRule="exact"/>
        <w:ind w:left="0" w:leftChars="0" w:right="0" w:rightChars="0" w:firstLine="643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bookmarkStart w:id="0" w:name="_Toc19903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（一）主要经验及做法</w:t>
      </w:r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接绩效评估工作安排文件通知后，支队领导高度重视，积极组织指挥室及相关业务部门相互配合，对该项目进行认真梳理，结合资金使用成效进行绩效评价，确保绩效结果全面真实有效，并运用绩效评价结果来指导下一年度预算安排，有效应用绩效评价结果，从而有利于达到优化预算支出分配的目的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600" w:lineRule="exact"/>
        <w:ind w:left="0" w:leftChars="0" w:right="0" w:rightChars="0" w:firstLine="643" w:firstLineChars="200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lang w:val="en-US" w:eastAsia="zh-CN" w:bidi="ar"/>
        </w:rPr>
      </w:pPr>
      <w:bookmarkStart w:id="1" w:name="_Toc29214"/>
      <w:bookmarkStart w:id="2" w:name="_Toc32601"/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lang w:val="en-US" w:eastAsia="zh-CN" w:bidi="ar"/>
        </w:rPr>
        <w:t>（二）存在问题</w:t>
      </w:r>
      <w:bookmarkEnd w:id="1"/>
      <w:bookmarkEnd w:id="2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宋体" w:eastAsia="黑体" w:cs="黑体"/>
          <w:color w:val="auto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由于预算绩效管理的专业性、复杂性等特性，预算编制工作需进一步精细化，项目资金使用的效率还要进一步提</w:t>
      </w:r>
      <w:r>
        <w:rPr>
          <w:rFonts w:hint="eastAsia" w:ascii="仿宋" w:hAnsi="仿宋" w:eastAsia="仿宋" w:cs="仿宋"/>
          <w:color w:val="auto"/>
          <w:kern w:val="0"/>
          <w:sz w:val="31"/>
          <w:szCs w:val="31"/>
          <w:lang w:val="en-US" w:eastAsia="zh-CN" w:bidi="ar"/>
        </w:rPr>
        <w:t>高。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600" w:lineRule="exact"/>
        <w:ind w:left="0" w:leftChars="0" w:right="0" w:rightChars="0" w:firstLine="643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val="en-US" w:eastAsia="zh-CN"/>
        </w:rPr>
      </w:pPr>
      <w:bookmarkStart w:id="3" w:name="_Toc8073"/>
      <w:bookmarkStart w:id="4" w:name="_Toc18726"/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val="en-US" w:eastAsia="zh-CN"/>
        </w:rPr>
        <w:t>（三）建议</w:t>
      </w:r>
      <w:bookmarkEnd w:id="3"/>
      <w:bookmarkEnd w:id="4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color w:val="auto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 xml:space="preserve">建议加大资金预算及预算资金执行力度，强化资金监管和资金产出效益，加强资金绩效目标考核管理，确保资金投入和产出效益。 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pacing w:beforeAutospacing="0" w:afterAutospacing="0" w:line="600" w:lineRule="exact"/>
        <w:ind w:left="0" w:leftChars="0" w:right="0" w:rightChars="0" w:firstLine="643" w:firstLineChars="200"/>
        <w:textAlignment w:val="auto"/>
        <w:rPr>
          <w:rFonts w:hint="eastAsia" w:ascii="黑体" w:hAnsi="黑体" w:eastAsia="黑体" w:cs="黑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32"/>
          <w:szCs w:val="32"/>
          <w:lang w:val="en-US" w:eastAsia="zh-CN"/>
        </w:rPr>
        <w:t>其他需要说明的问题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beforeAutospacing="0" w:afterAutospacing="0" w:line="600" w:lineRule="exact"/>
        <w:ind w:left="0" w:leftChars="0" w:right="0" w:rightChars="0" w:firstLine="640" w:firstLineChars="200"/>
        <w:textAlignment w:val="auto"/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无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73A42D"/>
    <w:multiLevelType w:val="singleLevel"/>
    <w:tmpl w:val="6673A42D"/>
    <w:lvl w:ilvl="0" w:tentative="0">
      <w:start w:val="3"/>
      <w:numFmt w:val="chineseCounting"/>
      <w:suff w:val="nothing"/>
      <w:lvlText w:val="（%1）"/>
      <w:lvlJc w:val="left"/>
    </w:lvl>
  </w:abstractNum>
  <w:abstractNum w:abstractNumId="1">
    <w:nsid w:val="6673A611"/>
    <w:multiLevelType w:val="singleLevel"/>
    <w:tmpl w:val="6673A611"/>
    <w:lvl w:ilvl="0" w:tentative="0">
      <w:start w:val="2"/>
      <w:numFmt w:val="chineseCounting"/>
      <w:suff w:val="nothing"/>
      <w:lvlText w:val="（%1）"/>
      <w:lvlJc w:val="left"/>
    </w:lvl>
  </w:abstractNum>
  <w:abstractNum w:abstractNumId="2">
    <w:nsid w:val="6673A644"/>
    <w:multiLevelType w:val="singleLevel"/>
    <w:tmpl w:val="6673A644"/>
    <w:lvl w:ilvl="0" w:tentative="0">
      <w:start w:val="2"/>
      <w:numFmt w:val="chineseCounting"/>
      <w:suff w:val="nothing"/>
      <w:lvlText w:val="（%1）"/>
      <w:lvlJc w:val="left"/>
    </w:lvl>
  </w:abstractNum>
  <w:abstractNum w:abstractNumId="3">
    <w:nsid w:val="6674D554"/>
    <w:multiLevelType w:val="singleLevel"/>
    <w:tmpl w:val="6674D554"/>
    <w:lvl w:ilvl="0" w:tentative="0">
      <w:start w:val="6"/>
      <w:numFmt w:val="chineseCounting"/>
      <w:suff w:val="nothing"/>
      <w:lvlText w:val="%1、"/>
      <w:lvlJc w:val="left"/>
    </w:lvl>
  </w:abstractNum>
  <w:abstractNum w:abstractNumId="4">
    <w:nsid w:val="667CEE66"/>
    <w:multiLevelType w:val="singleLevel"/>
    <w:tmpl w:val="667CEE66"/>
    <w:lvl w:ilvl="0" w:tentative="0">
      <w:start w:val="2"/>
      <w:numFmt w:val="decimal"/>
      <w:suff w:val="nothing"/>
      <w:lvlText w:val="%1."/>
      <w:lvlJc w:val="left"/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C97D58"/>
    <w:rsid w:val="01727ED8"/>
    <w:rsid w:val="051A6E32"/>
    <w:rsid w:val="247A4D22"/>
    <w:rsid w:val="2CC97D58"/>
    <w:rsid w:val="32E81AE7"/>
    <w:rsid w:val="445769AD"/>
    <w:rsid w:val="5EFA45A1"/>
    <w:rsid w:val="6D2C0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2166</Words>
  <Characters>2265</Characters>
  <Lines>0</Lines>
  <Paragraphs>0</Paragraphs>
  <TotalTime>4</TotalTime>
  <ScaleCrop>false</ScaleCrop>
  <LinksUpToDate>false</LinksUpToDate>
  <CharactersWithSpaces>2273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2025-05-27T07:30:00Z</dcterms:created>
  <dc:creator>Admin</dc:creator>
  <cp:lastModifiedBy>lenovo</cp:lastModifiedBy>
  <cp:lastPrinted>2025-05-30T02:27:00Z</cp:lastPrinted>
  <dcterms:modified xsi:type="dcterms:W3CDTF">2026-07-19T05:51:17Z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9313EB5153C24C9C8DFAF973DD29FD6D_11</vt:lpwstr>
  </property>
  <property fmtid="{D5CDD505-2E9C-101B-9397-08002B2CF9AE}" pid="4" name="KSOTemplateDocerSaveRecord">
    <vt:lpwstr>eyJoZGlkIjoiNDk1Y2RiMmQwODE2NTVkMWNjMTQzNjEwMWQwZGZhYTcifQ==</vt:lpwstr>
  </property>
</Properties>
</file>