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75139">
      <w:pPr>
        <w:spacing w:line="560" w:lineRule="exact"/>
        <w:jc w:val="center"/>
        <w:rPr>
          <w:rFonts w:hint="eastAsia" w:ascii="黑体" w:hAnsi="ˎ̥" w:eastAsia="黑体"/>
          <w:color w:val="auto"/>
          <w:sz w:val="44"/>
          <w:szCs w:val="44"/>
        </w:rPr>
      </w:pPr>
      <w:r>
        <w:rPr>
          <w:rFonts w:hint="eastAsia" w:ascii="黑体" w:hAnsi="ˎ̥" w:eastAsia="黑体"/>
          <w:color w:val="auto"/>
          <w:sz w:val="44"/>
          <w:szCs w:val="44"/>
        </w:rPr>
        <w:t>三亚市公安局特警（防暴）支队202</w:t>
      </w:r>
      <w:r>
        <w:rPr>
          <w:rFonts w:ascii="黑体" w:hAnsi="ˎ̥" w:eastAsia="黑体"/>
          <w:color w:val="auto"/>
          <w:sz w:val="44"/>
          <w:szCs w:val="44"/>
        </w:rPr>
        <w:t>3</w:t>
      </w:r>
      <w:r>
        <w:rPr>
          <w:rFonts w:hint="eastAsia" w:ascii="黑体" w:hAnsi="ˎ̥" w:eastAsia="黑体"/>
          <w:color w:val="auto"/>
          <w:sz w:val="44"/>
          <w:szCs w:val="44"/>
        </w:rPr>
        <w:t>年</w:t>
      </w:r>
      <w:r>
        <w:rPr>
          <w:rFonts w:hint="eastAsia" w:ascii="黑体" w:hAnsi="ˎ̥" w:eastAsia="黑体"/>
          <w:color w:val="auto"/>
          <w:sz w:val="44"/>
          <w:szCs w:val="44"/>
          <w:lang w:eastAsia="zh-CN"/>
        </w:rPr>
        <w:t>度单位</w:t>
      </w:r>
      <w:r>
        <w:rPr>
          <w:rFonts w:hint="eastAsia" w:ascii="黑体" w:hAnsi="ˎ̥" w:eastAsia="黑体"/>
          <w:color w:val="auto"/>
          <w:sz w:val="44"/>
          <w:szCs w:val="44"/>
        </w:rPr>
        <w:t>决算公开</w:t>
      </w:r>
      <w:r>
        <w:rPr>
          <w:rFonts w:ascii="黑体" w:hAnsi="ˎ̥" w:eastAsia="黑体"/>
          <w:color w:val="auto"/>
          <w:sz w:val="44"/>
          <w:szCs w:val="44"/>
        </w:rPr>
        <w:t>报告</w:t>
      </w:r>
    </w:p>
    <w:p w14:paraId="2735C456">
      <w:pPr>
        <w:spacing w:line="560" w:lineRule="exact"/>
        <w:jc w:val="center"/>
        <w:rPr>
          <w:rFonts w:hint="eastAsia" w:ascii="黑体" w:hAnsi="ˎ̥" w:eastAsia="黑体"/>
          <w:color w:val="auto"/>
          <w:sz w:val="44"/>
          <w:szCs w:val="44"/>
        </w:rPr>
      </w:pPr>
    </w:p>
    <w:p w14:paraId="7A52FF74">
      <w:pPr>
        <w:spacing w:line="560" w:lineRule="exact"/>
        <w:jc w:val="center"/>
        <w:rPr>
          <w:rFonts w:hint="eastAsia" w:ascii="黑体" w:hAnsi="ˎ̥" w:eastAsia="黑体"/>
          <w:b/>
          <w:color w:val="auto"/>
          <w:sz w:val="32"/>
          <w:szCs w:val="32"/>
        </w:rPr>
      </w:pPr>
    </w:p>
    <w:p w14:paraId="15BAC38C">
      <w:pPr>
        <w:spacing w:line="560"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14:paraId="2BA04027">
      <w:pPr>
        <w:pStyle w:val="7"/>
        <w:tabs>
          <w:tab w:val="right" w:leader="dot" w:pos="8306"/>
        </w:tabs>
        <w:spacing w:line="560" w:lineRule="exact"/>
        <w:rPr>
          <w:rFonts w:hint="eastAsia"/>
          <w:color w:val="auto"/>
          <w:sz w:val="32"/>
          <w:szCs w:val="32"/>
        </w:rPr>
      </w:pPr>
      <w:r>
        <w:rPr>
          <w:color w:val="auto"/>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14:paraId="5A1F8BE9">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24200434">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24D2082B">
      <w:pPr>
        <w:pStyle w:val="7"/>
        <w:tabs>
          <w:tab w:val="right" w:leader="dot" w:pos="8306"/>
        </w:tabs>
        <w:spacing w:line="560" w:lineRule="exact"/>
        <w:rPr>
          <w:rFonts w:hint="eastAsia"/>
          <w:color w:val="auto"/>
          <w:sz w:val="32"/>
          <w:szCs w:val="32"/>
        </w:rPr>
      </w:pPr>
      <w:r>
        <w:rPr>
          <w:color w:val="auto"/>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第二部分  202</w:t>
      </w:r>
      <w:r>
        <w:rPr>
          <w:rFonts w:ascii="黑体" w:hAnsi="ˎ̥" w:eastAsia="黑体"/>
          <w:color w:val="auto"/>
          <w:sz w:val="32"/>
          <w:szCs w:val="32"/>
        </w:rPr>
        <w:t>3</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14:paraId="224C7170">
      <w:pPr>
        <w:pStyle w:val="7"/>
        <w:tabs>
          <w:tab w:val="right" w:leader="dot" w:pos="8306"/>
        </w:tabs>
        <w:spacing w:line="560" w:lineRule="exact"/>
        <w:rPr>
          <w:rFonts w:hint="eastAsia"/>
          <w:color w:val="auto"/>
          <w:sz w:val="32"/>
          <w:szCs w:val="32"/>
        </w:rPr>
      </w:pPr>
      <w:r>
        <w:rPr>
          <w:color w:val="auto"/>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eastAsia" w:ascii="黑体" w:hAnsi="ˎ̥" w:eastAsia="黑体"/>
          <w:color w:val="auto"/>
          <w:sz w:val="32"/>
          <w:szCs w:val="32"/>
        </w:rPr>
        <w:t>202</w:t>
      </w:r>
      <w:r>
        <w:rPr>
          <w:rFonts w:ascii="黑体" w:hAnsi="ˎ̥" w:eastAsia="黑体"/>
          <w:color w:val="auto"/>
          <w:sz w:val="32"/>
          <w:szCs w:val="32"/>
        </w:rPr>
        <w:t>3</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14:paraId="5967A46F">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14:paraId="1EE42AC1">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75C2F90F">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7147F1D4">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2C12DCD3">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14:paraId="2BC241E3">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14:paraId="4D1E38A8">
      <w:pPr>
        <w:pStyle w:val="8"/>
        <w:numPr>
          <w:ilvl w:val="0"/>
          <w:numId w:val="0"/>
        </w:numPr>
        <w:tabs>
          <w:tab w:val="right" w:leader="dot" w:pos="8306"/>
        </w:tabs>
        <w:spacing w:line="560"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lang w:eastAsia="zh-CN"/>
        </w:rPr>
        <w:t>七、</w:t>
      </w: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14:paraId="540B6445">
      <w:pPr>
        <w:pStyle w:val="8"/>
        <w:numPr>
          <w:ilvl w:val="0"/>
          <w:numId w:val="0"/>
        </w:numPr>
        <w:tabs>
          <w:tab w:val="right" w:leader="dot" w:pos="8306"/>
        </w:tabs>
        <w:spacing w:line="560"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lang w:eastAsia="zh-CN"/>
        </w:rPr>
        <w:t>八、</w:t>
      </w: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14:paraId="4CE5E23F">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14:paraId="64A301DF">
      <w:pPr>
        <w:pStyle w:val="8"/>
        <w:tabs>
          <w:tab w:val="right" w:leader="dot" w:pos="8306"/>
        </w:tabs>
        <w:spacing w:line="560" w:lineRule="exact"/>
        <w:ind w:leftChars="0"/>
        <w:rPr>
          <w:rFonts w:hint="eastAsia" w:ascii="仿宋" w:hAnsi="仿宋" w:eastAsia="仿宋" w:cs="仿宋"/>
          <w:color w:val="auto"/>
          <w:sz w:val="32"/>
          <w:szCs w:val="32"/>
        </w:rPr>
      </w:pPr>
      <w:r>
        <w:rPr>
          <w:color w:val="auto"/>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14:paraId="2118515E">
      <w:pPr>
        <w:pStyle w:val="8"/>
        <w:tabs>
          <w:tab w:val="right" w:leader="dot" w:pos="8306"/>
        </w:tabs>
        <w:spacing w:line="560"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14:paraId="5A662F8E">
      <w:pPr>
        <w:pStyle w:val="7"/>
        <w:tabs>
          <w:tab w:val="right" w:leader="dot" w:pos="8306"/>
        </w:tabs>
        <w:spacing w:line="560" w:lineRule="exact"/>
        <w:jc w:val="both"/>
        <w:rPr>
          <w:rFonts w:hint="eastAsia" w:ascii="黑体" w:hAnsi="ˎ̥" w:eastAsia="黑体"/>
          <w:color w:val="auto"/>
          <w:sz w:val="32"/>
          <w:szCs w:val="32"/>
        </w:rPr>
      </w:pPr>
      <w:r>
        <w:rPr>
          <w:color w:val="auto"/>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bookmarkStart w:id="2" w:name="_Toc10720_WPSOffice_Level1"/>
      <w:bookmarkStart w:id="3" w:name="_Toc22941_WPSOffice_Level1"/>
      <w:bookmarkStart w:id="4" w:name="_Toc32433_WPSOffice_Level1"/>
      <w:bookmarkStart w:id="5" w:name="_Toc1704_WPSOffice_Level1"/>
      <w:bookmarkStart w:id="6" w:name="_Toc23465_WPSOffice_Level1"/>
      <w:bookmarkStart w:id="7" w:name="_Toc10049_WPSOffice_Level1"/>
      <w:bookmarkStart w:id="8" w:name="_Toc24238_WPSOffice_Level2"/>
      <w:bookmarkStart w:id="9" w:name="_Toc20205_WPSOffice_Level2"/>
      <w:bookmarkStart w:id="10" w:name="_Toc26580_WPSOffice_Level2"/>
      <w:bookmarkStart w:id="11" w:name="_Toc32622_WPSOffice_Level2"/>
      <w:bookmarkStart w:id="12" w:name="_Toc20274_WPSOffice_Level2"/>
      <w:bookmarkStart w:id="13" w:name="_Toc14159_WPSOffice_Level2"/>
    </w:p>
    <w:p w14:paraId="2B3683D8">
      <w:pPr>
        <w:spacing w:line="560" w:lineRule="exact"/>
        <w:jc w:val="center"/>
        <w:rPr>
          <w:rFonts w:hint="eastAsia" w:ascii="黑体" w:hAnsi="ˎ̥" w:eastAsia="黑体"/>
          <w:color w:val="auto"/>
          <w:sz w:val="32"/>
          <w:szCs w:val="32"/>
        </w:rPr>
      </w:pPr>
    </w:p>
    <w:p w14:paraId="79BB94DC">
      <w:pPr>
        <w:spacing w:line="560"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14:paraId="6B8EFE03">
      <w:pPr>
        <w:autoSpaceDE w:val="0"/>
        <w:spacing w:line="560" w:lineRule="exact"/>
        <w:ind w:firstLine="640" w:firstLineChars="200"/>
        <w:rPr>
          <w:rFonts w:hint="eastAsia" w:ascii="仿宋" w:hAnsi="仿宋" w:eastAsia="仿宋" w:cs="仿宋"/>
          <w:color w:val="auto"/>
          <w:sz w:val="32"/>
          <w:szCs w:val="32"/>
        </w:rPr>
      </w:pPr>
    </w:p>
    <w:bookmarkEnd w:id="8"/>
    <w:p w14:paraId="713C2D4F">
      <w:pPr>
        <w:numPr>
          <w:ilvl w:val="0"/>
          <w:numId w:val="0"/>
        </w:numPr>
        <w:autoSpaceDE w:val="0"/>
        <w:spacing w:line="560" w:lineRule="exact"/>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单位职责</w:t>
      </w:r>
      <w:bookmarkEnd w:id="9"/>
      <w:bookmarkEnd w:id="10"/>
      <w:bookmarkEnd w:id="11"/>
      <w:bookmarkEnd w:id="12"/>
      <w:bookmarkEnd w:id="13"/>
    </w:p>
    <w:p w14:paraId="1BA2A2F7">
      <w:pPr>
        <w:autoSpaceDE w:val="0"/>
        <w:spacing w:before="0" w:beforeAutospacing="0" w:after="0" w:afterAutospacing="0" w:line="560" w:lineRule="exact"/>
        <w:ind w:right="0" w:firstLine="640" w:firstLineChars="200"/>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反恐处突、排爆安检、处置群体性事件、巡逻防控。</w:t>
      </w:r>
    </w:p>
    <w:p w14:paraId="23DE4A75">
      <w:pPr>
        <w:numPr>
          <w:ilvl w:val="0"/>
          <w:numId w:val="0"/>
        </w:numPr>
        <w:autoSpaceDE w:val="0"/>
        <w:spacing w:line="560" w:lineRule="exact"/>
        <w:ind w:left="0" w:leftChars="0" w:firstLine="640" w:firstLineChars="200"/>
        <w:rPr>
          <w:rFonts w:hint="eastAsia" w:ascii="黑体" w:hAnsi="黑体" w:eastAsia="黑体" w:cs="黑体"/>
          <w:color w:val="auto"/>
          <w:sz w:val="32"/>
          <w:szCs w:val="32"/>
        </w:rPr>
      </w:pPr>
      <w:bookmarkStart w:id="14" w:name="_Toc24059_WPSOffice_Level2"/>
      <w:bookmarkStart w:id="15" w:name="_Toc4833_WPSOffice_Level2"/>
      <w:bookmarkStart w:id="16" w:name="_Toc17796_WPSOffice_Level2"/>
      <w:bookmarkStart w:id="17" w:name="_Toc24474_WPSOffice_Level2"/>
      <w:bookmarkStart w:id="18" w:name="_Toc6572_WPSOffice_Level2"/>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机构设置</w:t>
      </w:r>
      <w:bookmarkEnd w:id="14"/>
      <w:bookmarkEnd w:id="15"/>
      <w:bookmarkEnd w:id="16"/>
      <w:bookmarkEnd w:id="17"/>
      <w:bookmarkEnd w:id="18"/>
    </w:p>
    <w:p w14:paraId="6B8F434B">
      <w:pPr>
        <w:autoSpaceDE w:val="0"/>
        <w:autoSpaceDN/>
        <w:spacing w:line="560" w:lineRule="exact"/>
        <w:ind w:left="0"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三亚市公安局特警（防暴）支队设9个内设机构，机关行政编制68名，设支队长1名，政委1名，副支队长3名，科级领导职数15名（正科级）。</w:t>
      </w:r>
    </w:p>
    <w:p w14:paraId="704FEF4B">
      <w:pPr>
        <w:keepNext w:val="0"/>
        <w:keepLines w:val="0"/>
        <w:widowControl w:val="0"/>
        <w:suppressLineNumbers w:val="0"/>
        <w:autoSpaceDE w:val="0"/>
        <w:autoSpaceDN/>
        <w:spacing w:line="560" w:lineRule="exact"/>
        <w:ind w:left="0" w:firstLine="640" w:firstLineChars="200"/>
        <w:rPr>
          <w:rFonts w:hint="eastAsia" w:ascii="仿宋_GB2312" w:hAnsi="ˎ̥" w:eastAsia="仿宋_GB2312" w:cs="宋体"/>
          <w:color w:val="auto"/>
          <w:kern w:val="0"/>
          <w:sz w:val="32"/>
          <w:szCs w:val="32"/>
        </w:rPr>
      </w:pPr>
      <w:r>
        <w:rPr>
          <w:rFonts w:hint="eastAsia" w:ascii="仿宋_GB2312" w:hAnsi="ˎ̥" w:eastAsia="仿宋_GB2312" w:cs="仿宋_GB2312"/>
          <w:color w:val="auto"/>
          <w:kern w:val="0"/>
          <w:sz w:val="32"/>
          <w:szCs w:val="32"/>
        </w:rPr>
        <w:t>纳入三亚市公安局特警（防暴）支队2023年度</w:t>
      </w:r>
      <w:r>
        <w:rPr>
          <w:rFonts w:hint="eastAsia" w:ascii="仿宋_GB2312" w:hAnsi="ˎ̥" w:eastAsia="仿宋_GB2312" w:cs="仿宋_GB2312"/>
          <w:color w:val="auto"/>
          <w:kern w:val="0"/>
          <w:sz w:val="32"/>
          <w:szCs w:val="32"/>
          <w:lang w:eastAsia="zh-CN"/>
        </w:rPr>
        <w:t>决算</w:t>
      </w:r>
      <w:r>
        <w:rPr>
          <w:rFonts w:hint="eastAsia" w:ascii="仿宋_GB2312" w:hAnsi="ˎ̥" w:eastAsia="仿宋_GB2312" w:cs="仿宋_GB2312"/>
          <w:color w:val="auto"/>
          <w:kern w:val="0"/>
          <w:sz w:val="32"/>
          <w:szCs w:val="32"/>
        </w:rPr>
        <w:t>编制范围的内设机构共9个，包括：政治处、纪检监察室、作训情报大队、综合保障大队、警犬技术大队、安检排暴大队、一大队、二大队、三大队。</w:t>
      </w:r>
    </w:p>
    <w:p w14:paraId="70EB8A86">
      <w:pPr>
        <w:spacing w:line="560" w:lineRule="exact"/>
        <w:jc w:val="both"/>
        <w:rPr>
          <w:rFonts w:hint="eastAsia" w:ascii="黑体" w:hAnsi="ˎ̥" w:eastAsia="黑体"/>
          <w:color w:val="auto"/>
          <w:sz w:val="32"/>
          <w:szCs w:val="32"/>
        </w:rPr>
      </w:pPr>
      <w:bookmarkStart w:id="19" w:name="_Toc8164_WPSOffice_Level1"/>
      <w:bookmarkStart w:id="20" w:name="_Toc30690_WPSOffice_Level1"/>
      <w:bookmarkStart w:id="21" w:name="_Toc6234_WPSOffice_Level1"/>
      <w:bookmarkStart w:id="22" w:name="_Toc28253_WPSOffice_Level1"/>
      <w:bookmarkStart w:id="23" w:name="_Toc30451_WPSOffice_Level1"/>
      <w:bookmarkStart w:id="24" w:name="_Toc15521_WPSOffice_Level1"/>
      <w:bookmarkStart w:id="25" w:name="_Toc32695_WPSOffice_Level2"/>
      <w:bookmarkStart w:id="26" w:name="_Toc11518_WPSOffice_Level2"/>
      <w:bookmarkStart w:id="27" w:name="_Toc4029_WPSOffice_Level2"/>
      <w:bookmarkStart w:id="28" w:name="_Toc8867_WPSOffice_Level2"/>
      <w:bookmarkStart w:id="29" w:name="_Toc6211_WPSOffice_Level2"/>
      <w:bookmarkStart w:id="30" w:name="_Toc32472_WPSOffice_Level2"/>
    </w:p>
    <w:p w14:paraId="3B417ADC">
      <w:pPr>
        <w:spacing w:line="560" w:lineRule="exact"/>
        <w:jc w:val="center"/>
        <w:rPr>
          <w:rFonts w:hint="eastAsia" w:ascii="黑体" w:hAnsi="ˎ̥" w:eastAsia="黑体"/>
          <w:color w:val="auto"/>
          <w:sz w:val="32"/>
          <w:szCs w:val="32"/>
        </w:rPr>
      </w:pPr>
      <w:r>
        <w:rPr>
          <w:rFonts w:hint="eastAsia" w:ascii="黑体" w:hAnsi="ˎ̥" w:eastAsia="黑体"/>
          <w:color w:val="auto"/>
          <w:sz w:val="32"/>
          <w:szCs w:val="32"/>
        </w:rPr>
        <w:t>第二部分  202</w:t>
      </w:r>
      <w:r>
        <w:rPr>
          <w:rFonts w:ascii="黑体" w:hAnsi="ˎ̥" w:eastAsia="黑体"/>
          <w:color w:val="auto"/>
          <w:sz w:val="32"/>
          <w:szCs w:val="32"/>
        </w:rPr>
        <w:t>3</w:t>
      </w:r>
      <w:r>
        <w:rPr>
          <w:rFonts w:hint="eastAsia" w:ascii="黑体" w:hAnsi="ˎ̥" w:eastAsia="黑体"/>
          <w:color w:val="auto"/>
          <w:sz w:val="32"/>
          <w:szCs w:val="32"/>
        </w:rPr>
        <w:t>年度部门决算公开报表</w:t>
      </w:r>
      <w:bookmarkEnd w:id="19"/>
      <w:bookmarkEnd w:id="20"/>
      <w:bookmarkEnd w:id="21"/>
      <w:bookmarkEnd w:id="22"/>
      <w:bookmarkEnd w:id="23"/>
      <w:bookmarkEnd w:id="24"/>
    </w:p>
    <w:p w14:paraId="4FEB329E">
      <w:pPr>
        <w:spacing w:line="560" w:lineRule="exact"/>
        <w:ind w:firstLine="645"/>
        <w:rPr>
          <w:rFonts w:hint="eastAsia" w:ascii="黑体" w:hAnsi="黑体" w:eastAsia="黑体" w:cs="黑体"/>
          <w:color w:val="auto"/>
          <w:sz w:val="32"/>
          <w:szCs w:val="32"/>
        </w:rPr>
      </w:pPr>
    </w:p>
    <w:p w14:paraId="514CAF6E">
      <w:pPr>
        <w:spacing w:line="560"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14:paraId="1AF260FE">
      <w:pPr>
        <w:spacing w:line="560" w:lineRule="exact"/>
        <w:ind w:firstLine="645"/>
        <w:rPr>
          <w:rFonts w:hint="eastAsia" w:ascii="黑体" w:hAnsi="黑体" w:eastAsia="黑体" w:cs="黑体"/>
          <w:color w:val="auto"/>
          <w:sz w:val="32"/>
          <w:szCs w:val="32"/>
        </w:rPr>
      </w:pPr>
      <w:bookmarkStart w:id="31" w:name="_Toc14349_WPSOffice_Level2"/>
      <w:bookmarkStart w:id="32" w:name="_Toc25608_WPSOffice_Level2"/>
      <w:bookmarkStart w:id="33" w:name="_Toc30334_WPSOffice_Level2"/>
      <w:bookmarkStart w:id="34" w:name="_Toc26621_WPSOffice_Level2"/>
      <w:bookmarkStart w:id="35" w:name="_Toc28622_WPSOffice_Level2"/>
      <w:bookmarkStart w:id="36" w:name="_Toc23139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858_WPSOffice_Level2"/>
      <w:bookmarkStart w:id="38" w:name="_Toc17626_WPSOffice_Level2"/>
      <w:bookmarkStart w:id="39" w:name="_Toc3262_WPSOffice_Level2"/>
      <w:bookmarkStart w:id="40" w:name="_Toc5489_WPSOffice_Level2"/>
      <w:bookmarkStart w:id="41" w:name="_Toc13854_WPSOffice_Level2"/>
      <w:bookmarkStart w:id="42" w:name="_Toc14658_WPSOffice_Level2"/>
    </w:p>
    <w:p w14:paraId="7AB014AA">
      <w:pPr>
        <w:spacing w:line="560"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7988_WPSOffice_Level2"/>
      <w:bookmarkStart w:id="44" w:name="_Toc21415_WPSOffice_Level2"/>
      <w:bookmarkStart w:id="45" w:name="_Toc13701_WPSOffice_Level2"/>
      <w:bookmarkStart w:id="46" w:name="_Toc23493_WPSOffice_Level2"/>
      <w:bookmarkStart w:id="47" w:name="_Toc4265_WPSOffice_Level2"/>
      <w:bookmarkStart w:id="48" w:name="_Toc23591_WPSOffice_Level2"/>
    </w:p>
    <w:p w14:paraId="76A8C90F">
      <w:pPr>
        <w:spacing w:line="560"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14:paraId="20F95958">
      <w:pPr>
        <w:spacing w:line="560" w:lineRule="exact"/>
        <w:ind w:firstLine="645"/>
        <w:rPr>
          <w:rFonts w:hint="eastAsia" w:ascii="黑体" w:hAnsi="黑体" w:eastAsia="黑体" w:cs="黑体"/>
          <w:color w:val="auto"/>
          <w:sz w:val="32"/>
          <w:szCs w:val="32"/>
        </w:rPr>
      </w:pPr>
      <w:bookmarkStart w:id="49" w:name="_Toc7879_WPSOffice_Level2"/>
      <w:bookmarkStart w:id="50" w:name="_Toc22783_WPSOffice_Level2"/>
      <w:bookmarkStart w:id="51" w:name="_Toc25166_WPSOffice_Level2"/>
      <w:bookmarkStart w:id="52" w:name="_Toc23829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2632_WPSOffice_Level2"/>
      <w:bookmarkStart w:id="56" w:name="_Toc5343_WPSOffice_Level2"/>
      <w:bookmarkStart w:id="57" w:name="_Toc8373_WPSOffice_Level2"/>
      <w:bookmarkStart w:id="58" w:name="_Toc17833_WPSOffice_Level2"/>
      <w:bookmarkStart w:id="59" w:name="_Toc25362_WPSOffice_Level2"/>
      <w:bookmarkStart w:id="60" w:name="_Toc17283_WPSOffice_Level2"/>
    </w:p>
    <w:p w14:paraId="2D3A4C0D">
      <w:pPr>
        <w:spacing w:line="560"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14:paraId="471A8725">
      <w:pPr>
        <w:spacing w:line="560" w:lineRule="exact"/>
        <w:ind w:left="1118" w:leftChars="304" w:hanging="480" w:hangingChars="150"/>
        <w:rPr>
          <w:rFonts w:hint="eastAsia" w:ascii="黑体" w:hAnsi="黑体" w:eastAsia="黑体" w:cs="黑体"/>
          <w:color w:val="auto"/>
          <w:sz w:val="32"/>
          <w:szCs w:val="32"/>
        </w:rPr>
      </w:pPr>
      <w:bookmarkStart w:id="61" w:name="_Toc1533_WPSOffice_Level2"/>
      <w:bookmarkStart w:id="62" w:name="_Toc6020_WPSOffice_Level2"/>
      <w:bookmarkStart w:id="63" w:name="_Toc21310_WPSOffice_Level2"/>
      <w:bookmarkStart w:id="64" w:name="_Toc13345_WPSOffice_Level2"/>
      <w:bookmarkStart w:id="65" w:name="_Toc5594_WPSOffice_Level2"/>
      <w:bookmarkStart w:id="66" w:name="_Toc11799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14:paraId="3DFA55BB">
      <w:pPr>
        <w:spacing w:line="560"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14:paraId="501D0D37">
      <w:pPr>
        <w:spacing w:line="560" w:lineRule="exact"/>
        <w:ind w:firstLine="640"/>
        <w:rPr>
          <w:rFonts w:hint="eastAsia" w:ascii="黑体" w:hAnsi="黑体" w:eastAsia="黑体" w:cs="黑体"/>
          <w:color w:val="auto"/>
          <w:sz w:val="32"/>
          <w:szCs w:val="32"/>
        </w:rPr>
      </w:pPr>
      <w:bookmarkStart w:id="67" w:name="_Toc19961_WPSOffice_Level2"/>
      <w:bookmarkStart w:id="68" w:name="_Toc1820_WPSOffice_Level2"/>
      <w:bookmarkStart w:id="69" w:name="_Toc29886_WPSOffice_Level2"/>
      <w:bookmarkStart w:id="70" w:name="_Toc9377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14:paraId="62E706DA">
      <w:pPr>
        <w:spacing w:line="560" w:lineRule="exact"/>
        <w:ind w:firstLine="640"/>
        <w:rPr>
          <w:rFonts w:hint="eastAsia" w:ascii="黑体" w:hAnsi="黑体" w:eastAsia="黑体" w:cs="黑体"/>
          <w:color w:val="auto"/>
          <w:sz w:val="32"/>
          <w:szCs w:val="32"/>
        </w:rPr>
      </w:pPr>
      <w:r>
        <w:rPr>
          <w:rFonts w:hint="eastAsia" w:ascii="黑体" w:hAnsi="黑体" w:eastAsia="黑体" w:cs="黑体"/>
          <w:color w:val="auto"/>
          <w:w w:val="96"/>
          <w:sz w:val="32"/>
          <w:szCs w:val="32"/>
        </w:rPr>
        <w:t xml:space="preserve">以上报表见附件1。   </w:t>
      </w:r>
    </w:p>
    <w:p w14:paraId="368D6AC3">
      <w:pPr>
        <w:spacing w:line="560" w:lineRule="exact"/>
        <w:rPr>
          <w:rFonts w:hint="eastAsia" w:ascii="黑体" w:hAnsi="黑体" w:eastAsia="黑体" w:cs="黑体"/>
          <w:color w:val="auto"/>
          <w:sz w:val="32"/>
          <w:szCs w:val="32"/>
        </w:rPr>
      </w:pPr>
    </w:p>
    <w:p w14:paraId="388A4831">
      <w:pPr>
        <w:spacing w:line="560" w:lineRule="exact"/>
        <w:jc w:val="center"/>
        <w:rPr>
          <w:rFonts w:hint="eastAsia" w:ascii="黑体" w:hAnsi="ˎ̥" w:eastAsia="黑体"/>
          <w:color w:val="auto"/>
          <w:sz w:val="32"/>
          <w:szCs w:val="32"/>
        </w:rPr>
      </w:pPr>
      <w:bookmarkStart w:id="71" w:name="_Toc27590_WPSOffice_Level1"/>
      <w:bookmarkStart w:id="72" w:name="_Toc29683_WPSOffice_Level1"/>
      <w:bookmarkStart w:id="73" w:name="_Toc16686_WPSOffice_Level1"/>
      <w:bookmarkStart w:id="74" w:name="_Toc31264_WPSOffice_Level1"/>
      <w:bookmarkStart w:id="75" w:name="_Toc4402_WPSOffice_Level1"/>
      <w:bookmarkStart w:id="76" w:name="_Toc28629_WPSOffice_Level1"/>
      <w:r>
        <w:rPr>
          <w:rFonts w:hint="eastAsia" w:ascii="黑体" w:hAnsi="ˎ̥" w:eastAsia="黑体"/>
          <w:color w:val="auto"/>
          <w:sz w:val="32"/>
          <w:szCs w:val="32"/>
        </w:rPr>
        <w:t>第三部分  202</w:t>
      </w:r>
      <w:r>
        <w:rPr>
          <w:rFonts w:ascii="黑体" w:hAnsi="ˎ̥" w:eastAsia="黑体"/>
          <w:color w:val="auto"/>
          <w:sz w:val="32"/>
          <w:szCs w:val="32"/>
        </w:rPr>
        <w:t>3</w:t>
      </w:r>
      <w:r>
        <w:rPr>
          <w:rFonts w:hint="eastAsia" w:ascii="黑体" w:hAnsi="ˎ̥" w:eastAsia="黑体"/>
          <w:color w:val="auto"/>
          <w:sz w:val="32"/>
          <w:szCs w:val="32"/>
        </w:rPr>
        <w:t>年度部门决算情况说明</w:t>
      </w:r>
      <w:bookmarkEnd w:id="71"/>
      <w:bookmarkEnd w:id="72"/>
      <w:bookmarkEnd w:id="73"/>
      <w:bookmarkEnd w:id="74"/>
      <w:bookmarkEnd w:id="75"/>
      <w:bookmarkEnd w:id="76"/>
    </w:p>
    <w:p w14:paraId="45ACE4DD">
      <w:pPr>
        <w:spacing w:line="560" w:lineRule="exact"/>
        <w:jc w:val="center"/>
        <w:rPr>
          <w:rFonts w:hint="eastAsia" w:ascii="黑体" w:hAnsi="ˎ̥" w:eastAsia="黑体"/>
          <w:color w:val="auto"/>
          <w:sz w:val="32"/>
          <w:szCs w:val="32"/>
        </w:rPr>
      </w:pPr>
    </w:p>
    <w:p w14:paraId="40B4DFCE">
      <w:pPr>
        <w:spacing w:line="560" w:lineRule="exact"/>
        <w:ind w:firstLine="640" w:firstLineChars="200"/>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万元，与202</w:t>
      </w:r>
      <w:r>
        <w:rPr>
          <w:rFonts w:ascii="仿宋_GB2312" w:hAnsi="ˎ̥" w:eastAsia="仿宋_GB2312"/>
          <w:color w:val="auto"/>
          <w:sz w:val="32"/>
          <w:szCs w:val="32"/>
        </w:rPr>
        <w:t>2</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1002.90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37.23</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政策性增加公务员职业年金等人员支出</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根据工作需要，增加装备购置经费</w:t>
      </w:r>
      <w:r>
        <w:rPr>
          <w:rFonts w:hint="eastAsia" w:ascii="仿宋_GB2312" w:hAnsi="ˎ̥" w:eastAsia="仿宋_GB2312"/>
          <w:color w:val="auto"/>
          <w:sz w:val="32"/>
          <w:szCs w:val="32"/>
        </w:rPr>
        <w:t>。</w:t>
      </w:r>
    </w:p>
    <w:p w14:paraId="15255C05">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r>
        <w:rPr>
          <w:rFonts w:hint="eastAsia" w:ascii="楷体" w:hAnsi="楷体" w:eastAsia="楷体" w:cs="楷体"/>
          <w:color w:val="auto"/>
          <w:sz w:val="32"/>
          <w:szCs w:val="32"/>
        </w:rPr>
        <w:t>。</w:t>
      </w:r>
    </w:p>
    <w:p w14:paraId="0038C512">
      <w:pPr>
        <w:spacing w:line="560"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w:t>
      </w:r>
    </w:p>
    <w:p w14:paraId="6C5E483D">
      <w:pPr>
        <w:spacing w:line="560"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202</w:t>
      </w:r>
      <w:r>
        <w:rPr>
          <w:rFonts w:ascii="仿宋_GB2312" w:hAnsi="ˎ̥" w:eastAsia="仿宋_GB2312"/>
          <w:color w:val="auto"/>
          <w:sz w:val="32"/>
          <w:szCs w:val="32"/>
        </w:rPr>
        <w:t>2</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14:paraId="1AA40DE7">
      <w:pPr>
        <w:spacing w:line="560"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202</w:t>
      </w:r>
      <w:r>
        <w:rPr>
          <w:rFonts w:ascii="仿宋_GB2312" w:hAnsi="ˎ̥" w:eastAsia="仿宋_GB2312"/>
          <w:color w:val="auto"/>
          <w:sz w:val="32"/>
          <w:szCs w:val="32"/>
        </w:rPr>
        <w:t>2</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14:paraId="49E065D8">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r>
        <w:rPr>
          <w:rFonts w:hint="eastAsia" w:ascii="楷体" w:hAnsi="楷体" w:eastAsia="楷体" w:cs="楷体"/>
          <w:color w:val="auto"/>
          <w:sz w:val="32"/>
          <w:szCs w:val="32"/>
        </w:rPr>
        <w:t>。</w:t>
      </w:r>
    </w:p>
    <w:p w14:paraId="7BF270D9">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w:t>
      </w:r>
    </w:p>
    <w:p w14:paraId="3A01B01F">
      <w:pPr>
        <w:spacing w:line="560" w:lineRule="exact"/>
        <w:ind w:firstLine="640" w:firstLineChars="200"/>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202</w:t>
      </w:r>
      <w:r>
        <w:rPr>
          <w:rFonts w:ascii="仿宋_GB2312" w:hAnsi="ˎ̥" w:eastAsia="仿宋_GB2312"/>
          <w:color w:val="auto"/>
          <w:sz w:val="32"/>
          <w:szCs w:val="32"/>
        </w:rPr>
        <w:t>2</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14:paraId="11E426F2">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202</w:t>
      </w:r>
      <w:r>
        <w:rPr>
          <w:rFonts w:ascii="仿宋_GB2312" w:hAnsi="ˎ̥" w:eastAsia="仿宋_GB2312"/>
          <w:color w:val="auto"/>
          <w:sz w:val="32"/>
          <w:szCs w:val="32"/>
        </w:rPr>
        <w:t>2</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14:paraId="0F688346">
      <w:pPr>
        <w:spacing w:line="560" w:lineRule="exact"/>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 xml:space="preserve">  </w:t>
      </w:r>
    </w:p>
    <w:p w14:paraId="1D6F3653">
      <w:pPr>
        <w:spacing w:line="560" w:lineRule="exact"/>
        <w:ind w:firstLine="640" w:firstLineChars="200"/>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3CC35AA2">
      <w:pPr>
        <w:spacing w:line="560" w:lineRule="exact"/>
        <w:ind w:firstLine="627" w:firstLineChars="196"/>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09F6729D">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2,048.55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55.42</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1,648.18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44.58</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1441128E">
      <w:pPr>
        <w:spacing w:line="560" w:lineRule="exact"/>
        <w:ind w:firstLine="627" w:firstLineChars="196"/>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74D4646A">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3,696.73</w:t>
      </w:r>
      <w:r>
        <w:rPr>
          <w:rFonts w:hint="eastAsia" w:ascii="仿宋_GB2312" w:hAnsi="ˎ̥" w:eastAsia="仿宋_GB2312"/>
          <w:color w:val="auto"/>
          <w:sz w:val="32"/>
          <w:szCs w:val="32"/>
        </w:rPr>
        <w:t>万元。与202</w:t>
      </w:r>
      <w:r>
        <w:rPr>
          <w:rFonts w:ascii="仿宋_GB2312" w:hAnsi="ˎ̥" w:eastAsia="仿宋_GB2312"/>
          <w:color w:val="auto"/>
          <w:sz w:val="32"/>
          <w:szCs w:val="32"/>
        </w:rPr>
        <w:t>2</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1002.90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37.23</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政策性增加公务员职业年金等人员支出</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根据工作需要，增加装备购置经费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1002.90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37.23</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政策性增加公务员职业年金等人员支出</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根据工作需要，增加装备购置经费</w:t>
      </w:r>
      <w:r>
        <w:rPr>
          <w:rFonts w:hint="eastAsia" w:ascii="仿宋_GB2312" w:hAnsi="ˎ̥" w:eastAsia="仿宋_GB2312"/>
          <w:color w:val="auto"/>
          <w:sz w:val="32"/>
          <w:szCs w:val="32"/>
        </w:rPr>
        <w:t>。</w:t>
      </w:r>
    </w:p>
    <w:p w14:paraId="1456CB64">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202</w:t>
      </w:r>
      <w:r>
        <w:rPr>
          <w:rFonts w:ascii="仿宋_GB2312" w:hAnsi="ˎ̥" w:eastAsia="仿宋_GB2312"/>
          <w:color w:val="auto"/>
          <w:sz w:val="32"/>
          <w:szCs w:val="32"/>
        </w:rPr>
        <w:t>2</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14:paraId="5FAE922C">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与</w:t>
      </w:r>
      <w:r>
        <w:rPr>
          <w:rFonts w:hint="eastAsia" w:ascii="仿宋_GB2312" w:hAnsi="ˎ̥" w:eastAsia="仿宋_GB2312"/>
          <w:color w:val="auto"/>
          <w:sz w:val="32"/>
          <w:szCs w:val="32"/>
        </w:rPr>
        <w:t>202</w:t>
      </w:r>
      <w:r>
        <w:rPr>
          <w:rFonts w:ascii="仿宋_GB2312" w:hAnsi="ˎ̥" w:eastAsia="仿宋_GB2312"/>
          <w:color w:val="auto"/>
          <w:sz w:val="32"/>
          <w:szCs w:val="32"/>
        </w:rPr>
        <w:t>2</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14:paraId="79D03439">
      <w:pPr>
        <w:spacing w:line="560" w:lineRule="exact"/>
        <w:ind w:firstLine="627" w:firstLineChars="196"/>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2554CE2C">
      <w:pPr>
        <w:spacing w:line="560" w:lineRule="exact"/>
        <w:ind w:firstLine="640" w:firstLineChars="200"/>
        <w:rPr>
          <w:rFonts w:hint="eastAsia" w:ascii="楷体" w:hAnsi="楷体" w:eastAsia="楷体" w:cs="楷体"/>
          <w:color w:val="auto"/>
          <w:sz w:val="32"/>
          <w:szCs w:val="32"/>
        </w:rPr>
      </w:pPr>
      <w:bookmarkStart w:id="77" w:name="_Toc17398_WPSOffice_Level2"/>
      <w:bookmarkStart w:id="78" w:name="_Toc13694_WPSOffice_Level2"/>
      <w:bookmarkStart w:id="79" w:name="_Toc23005_WPSOffice_Level2"/>
      <w:bookmarkStart w:id="80" w:name="_Toc9989_WPSOffice_Level2"/>
      <w:bookmarkStart w:id="81" w:name="_Toc19665_WPSOffice_Level2"/>
      <w:bookmarkStart w:id="82" w:name="_Toc21737_WPSOffice_Level2"/>
      <w:r>
        <w:rPr>
          <w:rFonts w:hint="eastAsia" w:ascii="楷体" w:hAnsi="楷体" w:eastAsia="楷体" w:cs="楷体"/>
          <w:color w:val="auto"/>
          <w:sz w:val="32"/>
          <w:szCs w:val="32"/>
        </w:rPr>
        <w:t>（一）一般公共预算财政拨款支出决算总体情况</w:t>
      </w:r>
      <w:bookmarkEnd w:id="77"/>
      <w:bookmarkEnd w:id="78"/>
      <w:r>
        <w:rPr>
          <w:rFonts w:hint="eastAsia" w:ascii="楷体" w:hAnsi="楷体" w:eastAsia="楷体" w:cs="楷体"/>
          <w:color w:val="auto"/>
          <w:sz w:val="32"/>
          <w:szCs w:val="32"/>
        </w:rPr>
        <w:t>。</w:t>
      </w:r>
      <w:bookmarkEnd w:id="79"/>
      <w:bookmarkEnd w:id="80"/>
      <w:bookmarkEnd w:id="81"/>
      <w:bookmarkEnd w:id="82"/>
    </w:p>
    <w:p w14:paraId="471AAD42">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3,296.98</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89.19</w:t>
      </w:r>
      <w:r>
        <w:rPr>
          <w:rFonts w:hint="eastAsia" w:ascii="仿宋_GB2312" w:hAnsi="ˎ̥" w:eastAsia="仿宋_GB2312"/>
          <w:color w:val="auto"/>
          <w:sz w:val="32"/>
          <w:szCs w:val="32"/>
        </w:rPr>
        <w:t>%。与2022年度相比，一般公共预算财政拨款支出增加</w:t>
      </w:r>
      <w:r>
        <w:rPr>
          <w:rFonts w:hint="eastAsia" w:ascii="仿宋_GB2312" w:hAnsi="ˎ̥" w:eastAsia="仿宋_GB2312"/>
          <w:color w:val="auto"/>
          <w:sz w:val="32"/>
          <w:szCs w:val="32"/>
          <w:lang w:val="en-US" w:eastAsia="zh-CN"/>
        </w:rPr>
        <w:t>1021.63</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44.90</w:t>
      </w:r>
      <w:r>
        <w:rPr>
          <w:rFonts w:hint="eastAsia" w:ascii="仿宋_GB2312" w:hAnsi="ˎ̥" w:eastAsia="仿宋_GB2312"/>
          <w:color w:val="auto"/>
          <w:sz w:val="32"/>
          <w:szCs w:val="32"/>
        </w:rPr>
        <w:t>%，主要原因是一是</w:t>
      </w:r>
      <w:r>
        <w:rPr>
          <w:rFonts w:hint="eastAsia" w:ascii="仿宋_GB2312" w:hAnsi="ˎ̥" w:eastAsia="仿宋_GB2312"/>
          <w:color w:val="auto"/>
          <w:sz w:val="32"/>
          <w:szCs w:val="32"/>
          <w:lang w:eastAsia="zh-CN"/>
        </w:rPr>
        <w:t>政策性增加公务员职业年金等人员支出</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根据工作需要，增加装备购置经费</w:t>
      </w:r>
      <w:r>
        <w:rPr>
          <w:rFonts w:hint="eastAsia" w:ascii="仿宋_GB2312" w:hAnsi="ˎ̥" w:eastAsia="仿宋_GB2312"/>
          <w:color w:val="auto"/>
          <w:sz w:val="32"/>
          <w:szCs w:val="32"/>
        </w:rPr>
        <w:t>。</w:t>
      </w:r>
    </w:p>
    <w:p w14:paraId="7BA3ACE4">
      <w:pPr>
        <w:spacing w:line="560" w:lineRule="exact"/>
        <w:ind w:firstLine="640" w:firstLineChars="200"/>
        <w:rPr>
          <w:rFonts w:hint="eastAsia" w:ascii="楷体" w:hAnsi="楷体" w:eastAsia="楷体" w:cs="楷体"/>
          <w:color w:val="auto"/>
          <w:sz w:val="32"/>
          <w:szCs w:val="32"/>
        </w:rPr>
      </w:pPr>
      <w:bookmarkStart w:id="83" w:name="_Toc18793_WPSOffice_Level2"/>
      <w:bookmarkStart w:id="84" w:name="_Toc2711_WPSOffice_Level2"/>
      <w:bookmarkStart w:id="85" w:name="_Toc23864_WPSOffice_Level2"/>
      <w:bookmarkStart w:id="86" w:name="_Toc19075_WPSOffice_Level2"/>
      <w:bookmarkStart w:id="87" w:name="_Toc27767_WPSOffice_Level2"/>
      <w:bookmarkStart w:id="88" w:name="_Toc19535_WPSOffice_Level2"/>
      <w:r>
        <w:rPr>
          <w:rFonts w:hint="eastAsia" w:ascii="楷体" w:hAnsi="楷体" w:eastAsia="楷体" w:cs="楷体"/>
          <w:color w:val="auto"/>
          <w:sz w:val="32"/>
          <w:szCs w:val="32"/>
        </w:rPr>
        <w:t>（二）一般公共预算财政拨款支出决算结构情况</w:t>
      </w:r>
      <w:bookmarkEnd w:id="83"/>
      <w:bookmarkEnd w:id="84"/>
      <w:r>
        <w:rPr>
          <w:rFonts w:hint="eastAsia" w:ascii="楷体" w:hAnsi="楷体" w:eastAsia="楷体" w:cs="楷体"/>
          <w:color w:val="auto"/>
          <w:sz w:val="32"/>
          <w:szCs w:val="32"/>
        </w:rPr>
        <w:t>。</w:t>
      </w:r>
      <w:bookmarkEnd w:id="85"/>
      <w:bookmarkEnd w:id="86"/>
      <w:bookmarkEnd w:id="87"/>
      <w:bookmarkEnd w:id="88"/>
    </w:p>
    <w:p w14:paraId="703A6033">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2023年度一般公共预算财政拨款支出</w:t>
      </w:r>
      <w:r>
        <w:rPr>
          <w:rFonts w:hint="eastAsia" w:ascii="仿宋_GB2312" w:hAnsi="ˎ̥" w:eastAsia="仿宋_GB2312"/>
          <w:color w:val="auto"/>
          <w:sz w:val="32"/>
          <w:szCs w:val="32"/>
          <w:lang w:val="en-US"/>
        </w:rPr>
        <w:t>3,296.98</w:t>
      </w:r>
      <w:r>
        <w:rPr>
          <w:rFonts w:hint="eastAsia" w:ascii="仿宋_GB2312" w:hAnsi="ˎ̥" w:eastAsia="仿宋_GB2312"/>
          <w:color w:val="auto"/>
          <w:sz w:val="32"/>
          <w:szCs w:val="32"/>
        </w:rPr>
        <w:t>万元，主要用于以下方面：</w:t>
      </w:r>
      <w:r>
        <w:rPr>
          <w:rFonts w:hint="eastAsia" w:ascii="仿宋_GB2312" w:hAnsi="ˎ̥" w:eastAsia="仿宋_GB2312" w:cs="Times New Roman"/>
          <w:color w:val="auto"/>
          <w:kern w:val="2"/>
          <w:sz w:val="32"/>
          <w:szCs w:val="32"/>
        </w:rPr>
        <w:t>公共安全（类）支出</w:t>
      </w:r>
      <w:r>
        <w:rPr>
          <w:rFonts w:hint="eastAsia" w:ascii="仿宋_GB2312" w:hAnsi="ˎ̥" w:eastAsia="仿宋_GB2312" w:cs="Times New Roman"/>
          <w:color w:val="auto"/>
          <w:kern w:val="2"/>
          <w:sz w:val="32"/>
          <w:szCs w:val="32"/>
          <w:lang w:val="en-US" w:eastAsia="zh-CN"/>
        </w:rPr>
        <w:t>2495.67</w:t>
      </w:r>
      <w:r>
        <w:rPr>
          <w:rFonts w:hint="eastAsia" w:ascii="仿宋_GB2312" w:hAnsi="ˎ̥" w:eastAsia="仿宋_GB2312" w:cs="Times New Roman"/>
          <w:color w:val="auto"/>
          <w:kern w:val="2"/>
          <w:sz w:val="32"/>
          <w:szCs w:val="32"/>
        </w:rPr>
        <w:t>万元，占</w:t>
      </w:r>
      <w:r>
        <w:rPr>
          <w:rFonts w:hint="eastAsia" w:ascii="仿宋_GB2312" w:hAnsi="ˎ̥" w:eastAsia="仿宋_GB2312" w:cs="Times New Roman"/>
          <w:color w:val="auto"/>
          <w:kern w:val="2"/>
          <w:sz w:val="32"/>
          <w:szCs w:val="32"/>
          <w:lang w:val="en-US" w:eastAsia="zh-CN"/>
        </w:rPr>
        <w:t>75.70</w:t>
      </w:r>
      <w:r>
        <w:rPr>
          <w:rFonts w:hint="eastAsia" w:ascii="仿宋_GB2312" w:hAnsi="ˎ̥" w:eastAsia="仿宋_GB2312" w:cs="Times New Roman"/>
          <w:color w:val="auto"/>
          <w:kern w:val="2"/>
          <w:sz w:val="32"/>
          <w:szCs w:val="32"/>
        </w:rPr>
        <w:t>%；社会保障和就业（类）支出470.07万元，占</w:t>
      </w:r>
      <w:r>
        <w:rPr>
          <w:rFonts w:hint="eastAsia" w:ascii="仿宋_GB2312" w:hAnsi="ˎ̥" w:eastAsia="仿宋_GB2312" w:cs="Times New Roman"/>
          <w:color w:val="auto"/>
          <w:kern w:val="2"/>
          <w:sz w:val="32"/>
          <w:szCs w:val="32"/>
          <w:lang w:val="en-US" w:eastAsia="zh-CN"/>
        </w:rPr>
        <w:t>14.26</w:t>
      </w:r>
      <w:r>
        <w:rPr>
          <w:rFonts w:hint="eastAsia" w:ascii="仿宋_GB2312" w:hAnsi="ˎ̥" w:eastAsia="仿宋_GB2312" w:cs="Times New Roman"/>
          <w:color w:val="auto"/>
          <w:kern w:val="2"/>
          <w:sz w:val="32"/>
          <w:szCs w:val="32"/>
        </w:rPr>
        <w:t>%；住房保障（类）支出131.63万元，占</w:t>
      </w:r>
      <w:r>
        <w:rPr>
          <w:rFonts w:hint="eastAsia" w:ascii="仿宋_GB2312" w:hAnsi="ˎ̥" w:eastAsia="仿宋_GB2312" w:cs="Times New Roman"/>
          <w:color w:val="auto"/>
          <w:kern w:val="2"/>
          <w:sz w:val="32"/>
          <w:szCs w:val="32"/>
          <w:lang w:val="en-US" w:eastAsia="zh-CN"/>
        </w:rPr>
        <w:t>4</w:t>
      </w:r>
      <w:r>
        <w:rPr>
          <w:rFonts w:hint="eastAsia" w:ascii="仿宋_GB2312" w:hAnsi="ˎ̥" w:eastAsia="仿宋_GB2312" w:cs="Times New Roman"/>
          <w:color w:val="auto"/>
          <w:kern w:val="2"/>
          <w:sz w:val="32"/>
          <w:szCs w:val="32"/>
        </w:rPr>
        <w:t>%；卫生健康（类）支出199.62万元，占</w:t>
      </w:r>
      <w:r>
        <w:rPr>
          <w:rFonts w:hint="eastAsia" w:ascii="仿宋_GB2312" w:hAnsi="ˎ̥" w:eastAsia="仿宋_GB2312" w:cs="Times New Roman"/>
          <w:color w:val="auto"/>
          <w:kern w:val="2"/>
          <w:sz w:val="32"/>
          <w:szCs w:val="32"/>
          <w:lang w:val="en-US" w:eastAsia="zh-CN"/>
        </w:rPr>
        <w:t>6.04</w:t>
      </w:r>
      <w:r>
        <w:rPr>
          <w:rFonts w:hint="eastAsia" w:ascii="仿宋_GB2312" w:hAnsi="ˎ̥" w:eastAsia="仿宋_GB2312" w:cs="Times New Roman"/>
          <w:color w:val="auto"/>
          <w:kern w:val="2"/>
          <w:sz w:val="32"/>
          <w:szCs w:val="32"/>
        </w:rPr>
        <w:t>%。</w:t>
      </w:r>
    </w:p>
    <w:p w14:paraId="26D193E8">
      <w:pPr>
        <w:spacing w:line="560" w:lineRule="exact"/>
        <w:ind w:firstLine="640" w:firstLineChars="200"/>
        <w:rPr>
          <w:rFonts w:hint="eastAsia" w:ascii="楷体" w:hAnsi="楷体" w:eastAsia="楷体" w:cs="楷体"/>
          <w:color w:val="auto"/>
          <w:sz w:val="32"/>
          <w:szCs w:val="32"/>
        </w:rPr>
      </w:pPr>
      <w:bookmarkStart w:id="89" w:name="_Toc22318_WPSOffice_Level2"/>
      <w:bookmarkStart w:id="90" w:name="_Toc15415_WPSOffice_Level2"/>
      <w:bookmarkStart w:id="91" w:name="_Toc21701_WPSOffice_Level2"/>
      <w:bookmarkStart w:id="92" w:name="_Toc29364_WPSOffice_Level2"/>
      <w:bookmarkStart w:id="93" w:name="_Toc25136_WPSOffice_Level2"/>
      <w:bookmarkStart w:id="94" w:name="_Toc9502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14:paraId="5BDE2F46">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年度一般公共预算财政拨款支出年初预算为</w:t>
      </w:r>
      <w:r>
        <w:rPr>
          <w:rFonts w:hint="eastAsia" w:ascii="仿宋_GB2312" w:hAnsi="黑体" w:eastAsia="仿宋_GB2312" w:cs="仿宋_GB2312"/>
          <w:b w:val="0"/>
          <w:bCs w:val="0"/>
          <w:color w:val="auto"/>
          <w:sz w:val="32"/>
          <w:szCs w:val="32"/>
          <w:u w:val="none"/>
        </w:rPr>
        <w:t>2,701.97</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3,296.98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122</w:t>
      </w:r>
      <w:r>
        <w:rPr>
          <w:rFonts w:hint="eastAsia" w:ascii="仿宋_GB2312" w:hAnsi="ˎ̥" w:eastAsia="仿宋_GB2312"/>
          <w:color w:val="auto"/>
          <w:sz w:val="32"/>
          <w:szCs w:val="32"/>
        </w:rPr>
        <w:t>%。其中：</w:t>
      </w:r>
    </w:p>
    <w:p w14:paraId="408DE407">
      <w:pPr>
        <w:spacing w:line="560" w:lineRule="exact"/>
        <w:ind w:left="0" w:firstLine="643" w:firstLineChars="200"/>
        <w:rPr>
          <w:rFonts w:hint="eastAsia" w:ascii="仿宋_GB2312" w:hAnsi="ˎ̥" w:eastAsia="仿宋_GB2312" w:cs="Times New Roman"/>
          <w:b w:val="0"/>
          <w:bCs w:val="0"/>
          <w:color w:val="auto"/>
          <w:kern w:val="2"/>
          <w:sz w:val="32"/>
          <w:szCs w:val="32"/>
        </w:rPr>
      </w:pPr>
      <w:r>
        <w:rPr>
          <w:rFonts w:hint="eastAsia" w:ascii="仿宋_GB2312" w:hAnsi="ˎ̥" w:eastAsia="仿宋_GB2312" w:cs="Times New Roman"/>
          <w:b/>
          <w:bCs/>
          <w:color w:val="auto"/>
          <w:kern w:val="2"/>
          <w:sz w:val="32"/>
          <w:szCs w:val="32"/>
        </w:rPr>
        <w:t>1.公共安全支出（类）公安（款）行政运行（项）</w:t>
      </w:r>
    </w:p>
    <w:p w14:paraId="2942FCB2">
      <w:pPr>
        <w:spacing w:line="560" w:lineRule="exact"/>
        <w:ind w:firstLine="640" w:firstLineChars="200"/>
        <w:rPr>
          <w:rFonts w:hint="eastAsia" w:ascii="仿宋_GB2312" w:hAnsi="ˎ̥" w:eastAsia="仿宋_GB2312" w:cs="Times New Roman"/>
          <w:color w:val="auto"/>
          <w:kern w:val="2"/>
          <w:sz w:val="32"/>
          <w:szCs w:val="32"/>
        </w:rPr>
      </w:pPr>
      <w:r>
        <w:rPr>
          <w:rFonts w:hint="eastAsia" w:ascii="仿宋_GB2312" w:hAnsi="ˎ̥" w:eastAsia="仿宋_GB2312" w:cs="Times New Roman"/>
          <w:color w:val="auto"/>
          <w:kern w:val="2"/>
          <w:sz w:val="32"/>
          <w:szCs w:val="32"/>
        </w:rPr>
        <w:t>年初预算为1,150.41万元，支出决算为1,295.74万元，完成年初预算的</w:t>
      </w:r>
      <w:r>
        <w:rPr>
          <w:rFonts w:hint="eastAsia" w:ascii="仿宋_GB2312" w:hAnsi="ˎ̥" w:eastAsia="仿宋_GB2312" w:cs="Times New Roman"/>
          <w:color w:val="auto"/>
          <w:kern w:val="2"/>
          <w:sz w:val="32"/>
          <w:szCs w:val="32"/>
          <w:lang w:val="en-US" w:eastAsia="zh-CN"/>
        </w:rPr>
        <w:t>112.63</w:t>
      </w:r>
      <w:r>
        <w:rPr>
          <w:rFonts w:hint="eastAsia" w:ascii="仿宋_GB2312" w:hAnsi="ˎ̥" w:eastAsia="仿宋_GB2312" w:cs="Times New Roman"/>
          <w:color w:val="auto"/>
          <w:kern w:val="2"/>
          <w:sz w:val="32"/>
          <w:szCs w:val="32"/>
        </w:rPr>
        <w:t>%。决算数</w:t>
      </w:r>
      <w:r>
        <w:rPr>
          <w:rFonts w:hint="eastAsia" w:ascii="仿宋_GB2312" w:hAnsi="ˎ̥" w:eastAsia="仿宋_GB2312" w:cs="Times New Roman"/>
          <w:color w:val="auto"/>
          <w:kern w:val="2"/>
          <w:sz w:val="32"/>
          <w:szCs w:val="32"/>
          <w:lang w:eastAsia="zh-CN"/>
        </w:rPr>
        <w:t>大</w:t>
      </w:r>
      <w:r>
        <w:rPr>
          <w:rFonts w:hint="eastAsia" w:ascii="仿宋_GB2312" w:hAnsi="ˎ̥" w:eastAsia="仿宋_GB2312" w:cs="Times New Roman"/>
          <w:color w:val="auto"/>
          <w:kern w:val="2"/>
          <w:sz w:val="32"/>
          <w:szCs w:val="32"/>
        </w:rPr>
        <w:t>于预算数的主要原因：</w:t>
      </w:r>
      <w:r>
        <w:rPr>
          <w:rFonts w:hint="eastAsia" w:ascii="仿宋_GB2312" w:hAnsi="ˎ̥" w:eastAsia="仿宋_GB2312" w:cs="Times New Roman"/>
          <w:color w:val="auto"/>
          <w:kern w:val="2"/>
          <w:sz w:val="32"/>
          <w:szCs w:val="32"/>
          <w:lang w:eastAsia="zh-CN"/>
        </w:rPr>
        <w:t>政策性增资</w:t>
      </w:r>
      <w:r>
        <w:rPr>
          <w:rFonts w:hint="eastAsia" w:ascii="仿宋_GB2312" w:hAnsi="ˎ̥" w:eastAsia="仿宋_GB2312" w:cs="Times New Roman"/>
          <w:color w:val="auto"/>
          <w:kern w:val="2"/>
          <w:sz w:val="32"/>
          <w:szCs w:val="32"/>
        </w:rPr>
        <w:t>。</w:t>
      </w:r>
    </w:p>
    <w:p w14:paraId="6A3CF1D9">
      <w:pPr>
        <w:keepNext w:val="0"/>
        <w:keepLines w:val="0"/>
        <w:widowControl/>
        <w:numPr>
          <w:ilvl w:val="0"/>
          <w:numId w:val="0"/>
        </w:numPr>
        <w:suppressLineNumbers w:val="0"/>
        <w:tabs>
          <w:tab w:val="left" w:pos="312"/>
        </w:tabs>
        <w:spacing w:line="560" w:lineRule="exact"/>
        <w:ind w:left="0" w:firstLine="643" w:firstLineChars="200"/>
        <w:jc w:val="left"/>
        <w:rPr>
          <w:rFonts w:hint="eastAsia" w:ascii="仿宋_GB2312" w:hAnsi="ˎ̥" w:eastAsia="仿宋_GB2312" w:cs="Times New Roman"/>
          <w:b/>
          <w:bCs/>
          <w:color w:val="auto"/>
          <w:kern w:val="2"/>
          <w:sz w:val="32"/>
          <w:szCs w:val="32"/>
        </w:rPr>
      </w:pPr>
      <w:r>
        <w:rPr>
          <w:rFonts w:hint="eastAsia" w:ascii="仿宋_GB2312" w:hAnsi="ˎ̥" w:eastAsia="仿宋_GB2312" w:cs="Times New Roman"/>
          <w:b/>
          <w:bCs/>
          <w:color w:val="auto"/>
          <w:kern w:val="2"/>
          <w:sz w:val="32"/>
          <w:szCs w:val="32"/>
          <w:lang w:val="en-US" w:eastAsia="zh-CN"/>
        </w:rPr>
        <w:t>2.</w:t>
      </w:r>
      <w:r>
        <w:rPr>
          <w:rFonts w:hint="eastAsia" w:ascii="仿宋_GB2312" w:hAnsi="ˎ̥" w:eastAsia="仿宋_GB2312" w:cs="Times New Roman"/>
          <w:b/>
          <w:bCs/>
          <w:color w:val="auto"/>
          <w:kern w:val="2"/>
          <w:sz w:val="32"/>
          <w:szCs w:val="32"/>
        </w:rPr>
        <w:t>公共安全支出（类）公安（款）一般行政管理事务（项）</w:t>
      </w:r>
    </w:p>
    <w:p w14:paraId="3F12389F">
      <w:pPr>
        <w:spacing w:line="560" w:lineRule="exact"/>
        <w:ind w:firstLine="640" w:firstLineChars="200"/>
        <w:rPr>
          <w:rFonts w:hint="eastAsia" w:ascii="仿宋_GB2312" w:hAnsi="ˎ̥" w:eastAsia="仿宋_GB2312" w:cs="Times New Roman"/>
          <w:color w:val="auto"/>
          <w:kern w:val="2"/>
          <w:sz w:val="32"/>
          <w:szCs w:val="32"/>
        </w:rPr>
      </w:pPr>
      <w:r>
        <w:rPr>
          <w:rFonts w:hint="eastAsia" w:ascii="仿宋_GB2312" w:hAnsi="ˎ̥" w:eastAsia="仿宋_GB2312" w:cs="Times New Roman"/>
          <w:color w:val="auto"/>
          <w:kern w:val="2"/>
          <w:sz w:val="32"/>
          <w:szCs w:val="32"/>
        </w:rPr>
        <w:t>年初预算为</w:t>
      </w:r>
      <w:r>
        <w:rPr>
          <w:rFonts w:hint="eastAsia" w:ascii="仿宋_GB2312" w:hAnsi="ˎ̥" w:eastAsia="仿宋_GB2312" w:cs="Times New Roman"/>
          <w:color w:val="auto"/>
          <w:kern w:val="2"/>
          <w:sz w:val="32"/>
          <w:szCs w:val="32"/>
          <w:lang w:val="en-US" w:eastAsia="zh-CN"/>
        </w:rPr>
        <w:t>230</w:t>
      </w:r>
      <w:r>
        <w:rPr>
          <w:rFonts w:hint="eastAsia" w:ascii="仿宋_GB2312" w:hAnsi="ˎ̥" w:eastAsia="仿宋_GB2312" w:cs="Times New Roman"/>
          <w:color w:val="auto"/>
          <w:kern w:val="2"/>
          <w:sz w:val="32"/>
          <w:szCs w:val="32"/>
        </w:rPr>
        <w:t>万元，支出决算为</w:t>
      </w:r>
      <w:r>
        <w:rPr>
          <w:rFonts w:hint="eastAsia" w:ascii="仿宋_GB2312" w:hAnsi="ˎ̥" w:eastAsia="仿宋_GB2312" w:cs="Times New Roman"/>
          <w:color w:val="auto"/>
          <w:kern w:val="2"/>
          <w:sz w:val="32"/>
          <w:szCs w:val="32"/>
          <w:lang w:val="en-US" w:eastAsia="zh-CN"/>
        </w:rPr>
        <w:t>220.12</w:t>
      </w:r>
      <w:r>
        <w:rPr>
          <w:rFonts w:hint="eastAsia" w:ascii="仿宋_GB2312" w:hAnsi="ˎ̥" w:eastAsia="仿宋_GB2312" w:cs="Times New Roman"/>
          <w:color w:val="auto"/>
          <w:kern w:val="2"/>
          <w:sz w:val="32"/>
          <w:szCs w:val="32"/>
        </w:rPr>
        <w:t>万元，完成年初预算的</w:t>
      </w:r>
      <w:r>
        <w:rPr>
          <w:rFonts w:hint="eastAsia" w:ascii="仿宋_GB2312" w:hAnsi="ˎ̥" w:eastAsia="仿宋_GB2312" w:cs="Times New Roman"/>
          <w:color w:val="auto"/>
          <w:kern w:val="2"/>
          <w:sz w:val="32"/>
          <w:szCs w:val="32"/>
          <w:lang w:val="en-US" w:eastAsia="zh-CN"/>
        </w:rPr>
        <w:t>95.70</w:t>
      </w:r>
      <w:r>
        <w:rPr>
          <w:rFonts w:hint="eastAsia" w:ascii="仿宋_GB2312" w:hAnsi="ˎ̥" w:eastAsia="仿宋_GB2312" w:cs="Times New Roman"/>
          <w:color w:val="auto"/>
          <w:kern w:val="2"/>
          <w:sz w:val="32"/>
          <w:szCs w:val="32"/>
        </w:rPr>
        <w:t>%。决算数小于预算数的主要原因：项目支出进度慢。</w:t>
      </w:r>
    </w:p>
    <w:p w14:paraId="443D62A1">
      <w:pPr>
        <w:spacing w:line="560" w:lineRule="exact"/>
        <w:ind w:left="0" w:firstLine="643" w:firstLineChars="200"/>
        <w:rPr>
          <w:rFonts w:hint="eastAsia" w:ascii="仿宋_GB2312" w:hAnsi="ˎ̥" w:eastAsia="仿宋_GB2312" w:cs="Times New Roman"/>
          <w:b/>
          <w:bCs/>
          <w:color w:val="auto"/>
          <w:kern w:val="2"/>
          <w:sz w:val="32"/>
          <w:szCs w:val="32"/>
        </w:rPr>
      </w:pPr>
      <w:r>
        <w:rPr>
          <w:rFonts w:hint="eastAsia" w:ascii="仿宋_GB2312" w:hAnsi="ˎ̥" w:eastAsia="仿宋_GB2312" w:cs="Times New Roman"/>
          <w:b/>
          <w:bCs/>
          <w:color w:val="auto"/>
          <w:kern w:val="2"/>
          <w:sz w:val="32"/>
          <w:szCs w:val="32"/>
        </w:rPr>
        <w:t>3.公共安全支出（类）公安（款）其他公安支出（项）</w:t>
      </w:r>
    </w:p>
    <w:p w14:paraId="6C57BBFC">
      <w:pPr>
        <w:spacing w:line="560" w:lineRule="exact"/>
        <w:ind w:firstLine="640" w:firstLineChars="200"/>
        <w:rPr>
          <w:rFonts w:hint="eastAsia" w:ascii="仿宋_GB2312" w:hAnsi="ˎ̥" w:eastAsia="仿宋_GB2312" w:cs="Times New Roman"/>
          <w:color w:val="auto"/>
          <w:kern w:val="2"/>
          <w:sz w:val="32"/>
          <w:szCs w:val="32"/>
        </w:rPr>
      </w:pPr>
      <w:r>
        <w:rPr>
          <w:rFonts w:hint="eastAsia" w:ascii="仿宋_GB2312" w:hAnsi="ˎ̥" w:eastAsia="仿宋_GB2312" w:cs="Times New Roman"/>
          <w:color w:val="auto"/>
          <w:kern w:val="2"/>
          <w:sz w:val="32"/>
          <w:szCs w:val="32"/>
        </w:rPr>
        <w:t>年初预算为</w:t>
      </w:r>
      <w:r>
        <w:rPr>
          <w:rFonts w:hint="eastAsia" w:ascii="仿宋_GB2312" w:hAnsi="ˎ̥" w:eastAsia="仿宋_GB2312" w:cs="Times New Roman"/>
          <w:color w:val="auto"/>
          <w:kern w:val="2"/>
          <w:sz w:val="32"/>
          <w:szCs w:val="32"/>
          <w:lang w:val="en-US" w:eastAsia="zh-CN"/>
        </w:rPr>
        <w:t>719</w:t>
      </w:r>
      <w:r>
        <w:rPr>
          <w:rFonts w:hint="eastAsia" w:ascii="仿宋_GB2312" w:hAnsi="ˎ̥" w:eastAsia="仿宋_GB2312" w:cs="Times New Roman"/>
          <w:color w:val="auto"/>
          <w:kern w:val="2"/>
          <w:sz w:val="32"/>
          <w:szCs w:val="32"/>
        </w:rPr>
        <w:t>万元，支出决算为888.87万元，完成年初预算的</w:t>
      </w:r>
      <w:r>
        <w:rPr>
          <w:rFonts w:hint="eastAsia" w:ascii="仿宋_GB2312" w:hAnsi="ˎ̥" w:eastAsia="仿宋_GB2312" w:cs="Times New Roman"/>
          <w:color w:val="auto"/>
          <w:kern w:val="2"/>
          <w:sz w:val="32"/>
          <w:szCs w:val="32"/>
          <w:lang w:val="en-US" w:eastAsia="zh-CN"/>
        </w:rPr>
        <w:t>123.62</w:t>
      </w:r>
      <w:r>
        <w:rPr>
          <w:rFonts w:hint="eastAsia" w:ascii="仿宋_GB2312" w:hAnsi="ˎ̥" w:eastAsia="仿宋_GB2312" w:cs="Times New Roman"/>
          <w:color w:val="auto"/>
          <w:kern w:val="2"/>
          <w:sz w:val="32"/>
          <w:szCs w:val="32"/>
        </w:rPr>
        <w:t>%。决算数</w:t>
      </w:r>
      <w:r>
        <w:rPr>
          <w:rFonts w:hint="eastAsia" w:ascii="仿宋_GB2312" w:hAnsi="ˎ̥" w:eastAsia="仿宋_GB2312" w:cs="Times New Roman"/>
          <w:color w:val="auto"/>
          <w:kern w:val="2"/>
          <w:sz w:val="32"/>
          <w:szCs w:val="32"/>
          <w:lang w:eastAsia="zh-CN"/>
        </w:rPr>
        <w:t>大</w:t>
      </w:r>
      <w:r>
        <w:rPr>
          <w:rFonts w:hint="eastAsia" w:ascii="仿宋_GB2312" w:hAnsi="ˎ̥" w:eastAsia="仿宋_GB2312" w:cs="Times New Roman"/>
          <w:color w:val="auto"/>
          <w:kern w:val="2"/>
          <w:sz w:val="32"/>
          <w:szCs w:val="32"/>
        </w:rPr>
        <w:t>于预算数的主要原因：</w:t>
      </w:r>
      <w:r>
        <w:rPr>
          <w:rFonts w:hint="eastAsia" w:ascii="仿宋_GB2312" w:hAnsi="ˎ̥" w:eastAsia="仿宋_GB2312" w:cs="Times New Roman"/>
          <w:color w:val="auto"/>
          <w:kern w:val="2"/>
          <w:sz w:val="32"/>
          <w:szCs w:val="32"/>
          <w:lang w:eastAsia="zh-CN"/>
        </w:rPr>
        <w:t>因工作需要，</w:t>
      </w:r>
      <w:r>
        <w:rPr>
          <w:rFonts w:hint="eastAsia" w:ascii="仿宋_GB2312" w:hAnsi="ˎ̥" w:eastAsia="仿宋_GB2312" w:cs="Times New Roman"/>
          <w:color w:val="auto"/>
          <w:kern w:val="2"/>
          <w:sz w:val="32"/>
          <w:szCs w:val="32"/>
        </w:rPr>
        <w:t>个别项目</w:t>
      </w:r>
      <w:r>
        <w:rPr>
          <w:rFonts w:hint="eastAsia" w:ascii="仿宋_GB2312" w:hAnsi="ˎ̥" w:eastAsia="仿宋_GB2312" w:cs="Times New Roman"/>
          <w:color w:val="auto"/>
          <w:kern w:val="2"/>
          <w:sz w:val="32"/>
          <w:szCs w:val="32"/>
          <w:lang w:eastAsia="zh-CN"/>
        </w:rPr>
        <w:t>追加经费</w:t>
      </w:r>
      <w:r>
        <w:rPr>
          <w:rFonts w:hint="eastAsia" w:ascii="仿宋_GB2312" w:hAnsi="ˎ̥" w:eastAsia="仿宋_GB2312" w:cs="Times New Roman"/>
          <w:color w:val="auto"/>
          <w:kern w:val="2"/>
          <w:sz w:val="32"/>
          <w:szCs w:val="32"/>
        </w:rPr>
        <w:t>。</w:t>
      </w:r>
    </w:p>
    <w:p w14:paraId="4004FE47">
      <w:pPr>
        <w:numPr>
          <w:ilvl w:val="0"/>
          <w:numId w:val="0"/>
        </w:numPr>
        <w:spacing w:line="560" w:lineRule="exact"/>
        <w:ind w:leftChars="0" w:firstLine="643" w:firstLineChars="200"/>
        <w:rPr>
          <w:rFonts w:hint="eastAsia" w:ascii="仿宋_GB2312" w:hAnsi="ˎ̥" w:eastAsia="仿宋_GB2312" w:cs="Times New Roman"/>
          <w:b w:val="0"/>
          <w:bCs w:val="0"/>
          <w:color w:val="auto"/>
          <w:kern w:val="2"/>
          <w:sz w:val="32"/>
          <w:szCs w:val="32"/>
        </w:rPr>
      </w:pPr>
      <w:r>
        <w:rPr>
          <w:rFonts w:hint="eastAsia" w:ascii="仿宋_GB2312" w:hAnsi="ˎ̥" w:eastAsia="仿宋_GB2312" w:cs="Times New Roman"/>
          <w:b/>
          <w:bCs/>
          <w:color w:val="auto"/>
          <w:kern w:val="2"/>
          <w:sz w:val="32"/>
          <w:szCs w:val="32"/>
          <w:lang w:val="en-US" w:eastAsia="zh-CN"/>
        </w:rPr>
        <w:t>4.</w:t>
      </w:r>
      <w:r>
        <w:rPr>
          <w:rFonts w:hint="eastAsia" w:ascii="仿宋_GB2312" w:hAnsi="ˎ̥" w:eastAsia="仿宋_GB2312" w:cs="Times New Roman"/>
          <w:b/>
          <w:bCs/>
          <w:color w:val="auto"/>
          <w:kern w:val="2"/>
          <w:sz w:val="32"/>
          <w:szCs w:val="32"/>
        </w:rPr>
        <w:t>公共安全支出（类）公安（款）执法办案（项）</w:t>
      </w:r>
    </w:p>
    <w:p w14:paraId="3C06031A">
      <w:pPr>
        <w:numPr>
          <w:ilvl w:val="0"/>
          <w:numId w:val="0"/>
        </w:numPr>
        <w:spacing w:line="560" w:lineRule="exact"/>
        <w:ind w:firstLine="640" w:firstLineChars="200"/>
        <w:rPr>
          <w:rFonts w:hint="eastAsia" w:ascii="仿宋_GB2312" w:hAnsi="ˎ̥" w:eastAsia="仿宋_GB2312" w:cs="Times New Roman"/>
          <w:color w:val="auto"/>
          <w:kern w:val="2"/>
          <w:sz w:val="32"/>
          <w:szCs w:val="32"/>
          <w:lang w:val="en-US" w:eastAsia="zh-CN"/>
        </w:rPr>
      </w:pPr>
      <w:r>
        <w:rPr>
          <w:rFonts w:hint="eastAsia" w:ascii="仿宋_GB2312" w:hAnsi="ˎ̥" w:eastAsia="仿宋_GB2312" w:cs="Times New Roman"/>
          <w:color w:val="auto"/>
          <w:kern w:val="2"/>
          <w:sz w:val="32"/>
          <w:szCs w:val="32"/>
        </w:rPr>
        <w:t>年初预算为</w:t>
      </w:r>
      <w:r>
        <w:rPr>
          <w:rFonts w:hint="eastAsia" w:ascii="仿宋_GB2312" w:hAnsi="ˎ̥" w:eastAsia="仿宋_GB2312" w:cs="Times New Roman"/>
          <w:color w:val="auto"/>
          <w:kern w:val="2"/>
          <w:sz w:val="32"/>
          <w:szCs w:val="32"/>
          <w:lang w:val="en-US" w:eastAsia="zh-CN"/>
        </w:rPr>
        <w:t>0</w:t>
      </w:r>
      <w:r>
        <w:rPr>
          <w:rFonts w:hint="eastAsia" w:ascii="仿宋_GB2312" w:hAnsi="ˎ̥" w:eastAsia="仿宋_GB2312" w:cs="Times New Roman"/>
          <w:color w:val="auto"/>
          <w:kern w:val="2"/>
          <w:sz w:val="32"/>
          <w:szCs w:val="32"/>
        </w:rPr>
        <w:t>万元，支出决算为</w:t>
      </w:r>
      <w:r>
        <w:rPr>
          <w:rFonts w:hint="eastAsia" w:ascii="仿宋_GB2312" w:hAnsi="ˎ̥" w:eastAsia="仿宋_GB2312" w:cs="Times New Roman"/>
          <w:color w:val="auto"/>
          <w:kern w:val="2"/>
          <w:sz w:val="32"/>
          <w:szCs w:val="32"/>
          <w:lang w:val="en-US" w:eastAsia="zh-CN"/>
        </w:rPr>
        <w:t>90.94</w:t>
      </w:r>
      <w:r>
        <w:rPr>
          <w:rFonts w:hint="eastAsia" w:ascii="仿宋_GB2312" w:hAnsi="ˎ̥" w:eastAsia="仿宋_GB2312" w:cs="Times New Roman"/>
          <w:color w:val="auto"/>
          <w:kern w:val="2"/>
          <w:sz w:val="32"/>
          <w:szCs w:val="32"/>
        </w:rPr>
        <w:t>万元。决算数</w:t>
      </w:r>
      <w:r>
        <w:rPr>
          <w:rFonts w:hint="eastAsia" w:ascii="仿宋_GB2312" w:hAnsi="ˎ̥" w:eastAsia="仿宋_GB2312" w:cs="Times New Roman"/>
          <w:color w:val="auto"/>
          <w:kern w:val="2"/>
          <w:sz w:val="32"/>
          <w:szCs w:val="32"/>
          <w:lang w:eastAsia="zh-CN"/>
        </w:rPr>
        <w:t>大</w:t>
      </w:r>
      <w:r>
        <w:rPr>
          <w:rFonts w:hint="eastAsia" w:ascii="仿宋_GB2312" w:hAnsi="ˎ̥" w:eastAsia="仿宋_GB2312" w:cs="Times New Roman"/>
          <w:color w:val="auto"/>
          <w:kern w:val="2"/>
          <w:sz w:val="32"/>
          <w:szCs w:val="32"/>
        </w:rPr>
        <w:t>于预算数的主要原因：</w:t>
      </w:r>
      <w:r>
        <w:rPr>
          <w:rFonts w:hint="eastAsia" w:ascii="仿宋_GB2312" w:hAnsi="ˎ̥" w:eastAsia="仿宋_GB2312" w:cs="Times New Roman"/>
          <w:color w:val="auto"/>
          <w:kern w:val="2"/>
          <w:sz w:val="32"/>
          <w:szCs w:val="32"/>
          <w:lang w:eastAsia="zh-CN"/>
        </w:rPr>
        <w:t>办案业务费</w:t>
      </w:r>
      <w:r>
        <w:rPr>
          <w:rFonts w:hint="eastAsia" w:ascii="仿宋_GB2312" w:hAnsi="ˎ̥" w:eastAsia="仿宋_GB2312" w:cs="Times New Roman"/>
          <w:color w:val="auto"/>
          <w:kern w:val="2"/>
          <w:sz w:val="32"/>
          <w:szCs w:val="32"/>
        </w:rPr>
        <w:t>项目</w:t>
      </w:r>
      <w:r>
        <w:rPr>
          <w:rFonts w:hint="eastAsia" w:ascii="仿宋_GB2312" w:hAnsi="ˎ̥" w:eastAsia="仿宋_GB2312" w:cs="Times New Roman"/>
          <w:color w:val="auto"/>
          <w:kern w:val="2"/>
          <w:sz w:val="32"/>
          <w:szCs w:val="32"/>
          <w:lang w:eastAsia="zh-CN"/>
        </w:rPr>
        <w:t>经费调剂</w:t>
      </w:r>
      <w:r>
        <w:rPr>
          <w:rFonts w:hint="eastAsia" w:ascii="仿宋_GB2312" w:hAnsi="ˎ̥" w:eastAsia="仿宋_GB2312" w:cs="Times New Roman"/>
          <w:color w:val="auto"/>
          <w:kern w:val="2"/>
          <w:sz w:val="32"/>
          <w:szCs w:val="32"/>
        </w:rPr>
        <w:t>。</w:t>
      </w:r>
    </w:p>
    <w:p w14:paraId="09A6EF66">
      <w:pPr>
        <w:spacing w:line="560" w:lineRule="exact"/>
        <w:ind w:left="0" w:firstLine="643" w:firstLineChars="200"/>
        <w:rPr>
          <w:rFonts w:hint="eastAsia" w:ascii="仿宋_GB2312" w:hAnsi="ˎ̥" w:eastAsia="仿宋_GB2312" w:cs="Times New Roman"/>
          <w:b/>
          <w:bCs/>
          <w:color w:val="auto"/>
          <w:kern w:val="2"/>
          <w:sz w:val="32"/>
          <w:szCs w:val="32"/>
        </w:rPr>
      </w:pPr>
      <w:r>
        <w:rPr>
          <w:rFonts w:hint="eastAsia" w:ascii="仿宋_GB2312" w:hAnsi="ˎ̥" w:eastAsia="仿宋_GB2312" w:cs="Times New Roman"/>
          <w:b/>
          <w:bCs/>
          <w:color w:val="auto"/>
          <w:kern w:val="2"/>
          <w:sz w:val="32"/>
          <w:szCs w:val="32"/>
          <w:lang w:val="en-US" w:eastAsia="zh-CN"/>
        </w:rPr>
        <w:t>5</w:t>
      </w:r>
      <w:r>
        <w:rPr>
          <w:rFonts w:hint="eastAsia" w:ascii="仿宋_GB2312" w:hAnsi="ˎ̥" w:eastAsia="仿宋_GB2312" w:cs="Times New Roman"/>
          <w:b/>
          <w:bCs/>
          <w:color w:val="auto"/>
          <w:kern w:val="2"/>
          <w:sz w:val="32"/>
          <w:szCs w:val="32"/>
        </w:rPr>
        <w:t>.社会保障和就业支出（类）行政事业单位养老支出（款）机关事业单位基本养老保险缴费支出（项）</w:t>
      </w:r>
    </w:p>
    <w:p w14:paraId="55F65412">
      <w:pPr>
        <w:spacing w:line="560" w:lineRule="exact"/>
        <w:ind w:firstLine="640" w:firstLineChars="200"/>
        <w:rPr>
          <w:rFonts w:hint="eastAsia" w:ascii="仿宋_GB2312" w:hAnsi="ˎ̥" w:eastAsia="仿宋_GB2312" w:cs="Times New Roman"/>
          <w:color w:val="auto"/>
          <w:kern w:val="2"/>
          <w:sz w:val="32"/>
          <w:szCs w:val="32"/>
        </w:rPr>
      </w:pPr>
      <w:r>
        <w:rPr>
          <w:rFonts w:hint="eastAsia" w:ascii="仿宋_GB2312" w:hAnsi="ˎ̥" w:eastAsia="仿宋_GB2312" w:cs="Times New Roman"/>
          <w:color w:val="auto"/>
          <w:kern w:val="2"/>
          <w:sz w:val="32"/>
          <w:szCs w:val="32"/>
        </w:rPr>
        <w:t>年初预算为</w:t>
      </w:r>
      <w:r>
        <w:rPr>
          <w:rFonts w:hint="eastAsia" w:ascii="仿宋_GB2312" w:hAnsi="ˎ̥" w:eastAsia="仿宋_GB2312" w:cs="Times New Roman"/>
          <w:color w:val="auto"/>
          <w:kern w:val="2"/>
          <w:sz w:val="32"/>
          <w:szCs w:val="32"/>
          <w:lang w:val="en-US" w:eastAsia="zh-CN"/>
        </w:rPr>
        <w:t>120.67</w:t>
      </w:r>
      <w:r>
        <w:rPr>
          <w:rFonts w:hint="eastAsia" w:ascii="仿宋_GB2312" w:hAnsi="ˎ̥" w:eastAsia="仿宋_GB2312" w:cs="Times New Roman"/>
          <w:color w:val="auto"/>
          <w:kern w:val="2"/>
          <w:sz w:val="32"/>
          <w:szCs w:val="32"/>
        </w:rPr>
        <w:t>万元，支出决算为</w:t>
      </w:r>
      <w:r>
        <w:rPr>
          <w:rFonts w:hint="eastAsia" w:ascii="仿宋_GB2312" w:hAnsi="ˎ̥" w:eastAsia="仿宋_GB2312" w:cs="Times New Roman"/>
          <w:color w:val="auto"/>
          <w:kern w:val="2"/>
          <w:sz w:val="32"/>
          <w:szCs w:val="32"/>
          <w:lang w:val="en-US" w:eastAsia="zh-CN"/>
        </w:rPr>
        <w:t>147.26</w:t>
      </w:r>
      <w:r>
        <w:rPr>
          <w:rFonts w:hint="eastAsia" w:ascii="仿宋_GB2312" w:hAnsi="ˎ̥" w:eastAsia="仿宋_GB2312" w:cs="Times New Roman"/>
          <w:color w:val="auto"/>
          <w:kern w:val="2"/>
          <w:sz w:val="32"/>
          <w:szCs w:val="32"/>
        </w:rPr>
        <w:t>万元，完成年初预算的</w:t>
      </w:r>
      <w:r>
        <w:rPr>
          <w:rFonts w:hint="eastAsia" w:ascii="仿宋_GB2312" w:hAnsi="ˎ̥" w:eastAsia="仿宋_GB2312" w:cs="Times New Roman"/>
          <w:color w:val="auto"/>
          <w:kern w:val="2"/>
          <w:sz w:val="32"/>
          <w:szCs w:val="32"/>
          <w:lang w:val="en-US" w:eastAsia="zh-CN"/>
        </w:rPr>
        <w:t>122.03</w:t>
      </w:r>
      <w:r>
        <w:rPr>
          <w:rFonts w:hint="eastAsia" w:ascii="仿宋_GB2312" w:hAnsi="ˎ̥" w:eastAsia="仿宋_GB2312" w:cs="Times New Roman"/>
          <w:color w:val="auto"/>
          <w:kern w:val="2"/>
          <w:sz w:val="32"/>
          <w:szCs w:val="32"/>
        </w:rPr>
        <w:t>%。决算数</w:t>
      </w:r>
      <w:r>
        <w:rPr>
          <w:rFonts w:hint="eastAsia" w:ascii="仿宋_GB2312" w:hAnsi="ˎ̥" w:eastAsia="仿宋_GB2312" w:cs="Times New Roman"/>
          <w:color w:val="auto"/>
          <w:kern w:val="2"/>
          <w:sz w:val="32"/>
          <w:szCs w:val="32"/>
          <w:lang w:eastAsia="zh-CN"/>
        </w:rPr>
        <w:t>大</w:t>
      </w:r>
      <w:r>
        <w:rPr>
          <w:rFonts w:hint="eastAsia" w:ascii="仿宋_GB2312" w:hAnsi="ˎ̥" w:eastAsia="仿宋_GB2312" w:cs="Times New Roman"/>
          <w:color w:val="auto"/>
          <w:kern w:val="2"/>
          <w:sz w:val="32"/>
          <w:szCs w:val="32"/>
        </w:rPr>
        <w:t>于预算数的主要原因：</w:t>
      </w:r>
      <w:r>
        <w:rPr>
          <w:rFonts w:hint="eastAsia" w:ascii="仿宋_GB2312" w:hAnsi="ˎ̥" w:eastAsia="仿宋_GB2312" w:cs="Times New Roman"/>
          <w:color w:val="auto"/>
          <w:kern w:val="2"/>
          <w:sz w:val="32"/>
          <w:szCs w:val="32"/>
          <w:lang w:eastAsia="zh-CN"/>
        </w:rPr>
        <w:t>政策性增资</w:t>
      </w:r>
      <w:r>
        <w:rPr>
          <w:rFonts w:hint="eastAsia" w:ascii="仿宋_GB2312" w:hAnsi="ˎ̥" w:eastAsia="仿宋_GB2312" w:cs="Times New Roman"/>
          <w:color w:val="auto"/>
          <w:kern w:val="2"/>
          <w:sz w:val="32"/>
          <w:szCs w:val="32"/>
        </w:rPr>
        <w:t>。</w:t>
      </w:r>
    </w:p>
    <w:p w14:paraId="7DB2BF25">
      <w:pPr>
        <w:spacing w:line="560" w:lineRule="exact"/>
        <w:ind w:firstLine="643" w:firstLineChars="200"/>
        <w:rPr>
          <w:rFonts w:hint="eastAsia" w:ascii="仿宋_GB2312" w:hAnsi="ˎ̥" w:eastAsia="仿宋_GB2312" w:cs="Times New Roman"/>
          <w:b/>
          <w:bCs/>
          <w:color w:val="auto"/>
          <w:kern w:val="2"/>
          <w:sz w:val="32"/>
          <w:szCs w:val="32"/>
        </w:rPr>
      </w:pPr>
      <w:r>
        <w:rPr>
          <w:rFonts w:hint="eastAsia" w:ascii="仿宋_GB2312" w:hAnsi="ˎ̥" w:eastAsia="仿宋_GB2312" w:cs="Times New Roman"/>
          <w:b/>
          <w:bCs/>
          <w:color w:val="auto"/>
          <w:kern w:val="2"/>
          <w:sz w:val="32"/>
          <w:szCs w:val="32"/>
          <w:lang w:val="en-US" w:eastAsia="zh-CN"/>
        </w:rPr>
        <w:t>6</w:t>
      </w:r>
      <w:r>
        <w:rPr>
          <w:rFonts w:hint="eastAsia" w:ascii="仿宋_GB2312" w:hAnsi="ˎ̥" w:eastAsia="仿宋_GB2312" w:cs="Times New Roman"/>
          <w:b/>
          <w:bCs/>
          <w:color w:val="auto"/>
          <w:kern w:val="2"/>
          <w:sz w:val="32"/>
          <w:szCs w:val="32"/>
        </w:rPr>
        <w:t>.社会保障和就业支出（类）行政事业单位养老支出（款）机关事业单位职业年金缴费支出（项）</w:t>
      </w:r>
    </w:p>
    <w:p w14:paraId="7FD74C2C">
      <w:pPr>
        <w:spacing w:line="560" w:lineRule="exact"/>
        <w:ind w:firstLine="640" w:firstLineChars="200"/>
        <w:rPr>
          <w:rFonts w:hint="eastAsia" w:ascii="仿宋" w:hAnsi="仿宋" w:eastAsia="仿宋" w:cs="仿宋"/>
          <w:color w:val="auto"/>
          <w:kern w:val="0"/>
          <w:sz w:val="32"/>
          <w:szCs w:val="32"/>
        </w:rPr>
      </w:pPr>
      <w:r>
        <w:rPr>
          <w:rFonts w:hint="eastAsia" w:ascii="仿宋_GB2312" w:hAnsi="ˎ̥" w:eastAsia="仿宋_GB2312" w:cs="Times New Roman"/>
          <w:color w:val="auto"/>
          <w:kern w:val="2"/>
          <w:sz w:val="32"/>
          <w:szCs w:val="32"/>
        </w:rPr>
        <w:t>年初预算为</w:t>
      </w:r>
      <w:r>
        <w:rPr>
          <w:rFonts w:hint="eastAsia" w:ascii="仿宋_GB2312" w:hAnsi="ˎ̥" w:eastAsia="仿宋_GB2312" w:cs="Times New Roman"/>
          <w:color w:val="auto"/>
          <w:kern w:val="2"/>
          <w:sz w:val="32"/>
          <w:szCs w:val="32"/>
          <w:lang w:val="en-US" w:eastAsia="zh-CN"/>
        </w:rPr>
        <w:t>202.62</w:t>
      </w:r>
      <w:r>
        <w:rPr>
          <w:rFonts w:hint="eastAsia" w:ascii="仿宋_GB2312" w:hAnsi="ˎ̥" w:eastAsia="仿宋_GB2312" w:cs="Times New Roman"/>
          <w:color w:val="auto"/>
          <w:kern w:val="2"/>
          <w:sz w:val="32"/>
          <w:szCs w:val="32"/>
        </w:rPr>
        <w:t>万元，支出决算为</w:t>
      </w:r>
      <w:r>
        <w:rPr>
          <w:rFonts w:hint="eastAsia" w:ascii="仿宋_GB2312" w:hAnsi="ˎ̥" w:eastAsia="仿宋_GB2312" w:cs="Times New Roman"/>
          <w:color w:val="auto"/>
          <w:kern w:val="2"/>
          <w:sz w:val="32"/>
          <w:szCs w:val="32"/>
          <w:lang w:val="en-US" w:eastAsia="zh-CN"/>
        </w:rPr>
        <w:t>321.06</w:t>
      </w:r>
      <w:r>
        <w:rPr>
          <w:rFonts w:hint="eastAsia" w:ascii="仿宋_GB2312" w:hAnsi="ˎ̥" w:eastAsia="仿宋_GB2312" w:cs="Times New Roman"/>
          <w:color w:val="auto"/>
          <w:kern w:val="2"/>
          <w:sz w:val="32"/>
          <w:szCs w:val="32"/>
        </w:rPr>
        <w:t>万元，完成年初预算的</w:t>
      </w:r>
      <w:r>
        <w:rPr>
          <w:rFonts w:hint="eastAsia" w:ascii="仿宋_GB2312" w:hAnsi="ˎ̥" w:eastAsia="仿宋_GB2312" w:cs="Times New Roman"/>
          <w:color w:val="auto"/>
          <w:kern w:val="2"/>
          <w:sz w:val="32"/>
          <w:szCs w:val="32"/>
          <w:lang w:val="en-US" w:eastAsia="zh-CN"/>
        </w:rPr>
        <w:t>158.45</w:t>
      </w:r>
      <w:r>
        <w:rPr>
          <w:rFonts w:hint="eastAsia" w:ascii="仿宋_GB2312" w:hAnsi="ˎ̥" w:eastAsia="仿宋_GB2312" w:cs="Times New Roman"/>
          <w:color w:val="auto"/>
          <w:kern w:val="2"/>
          <w:sz w:val="32"/>
          <w:szCs w:val="32"/>
        </w:rPr>
        <w:t>%。决算数大于预算数的主要原因：补缴。</w:t>
      </w:r>
    </w:p>
    <w:p w14:paraId="4D8F791F">
      <w:pPr>
        <w:spacing w:line="560" w:lineRule="exact"/>
        <w:ind w:left="0" w:firstLine="643" w:firstLineChars="200"/>
        <w:rPr>
          <w:rFonts w:hint="eastAsia" w:ascii="仿宋_GB2312" w:hAnsi="ˎ̥" w:eastAsia="仿宋_GB2312" w:cs="Times New Roman"/>
          <w:b/>
          <w:bCs/>
          <w:color w:val="auto"/>
          <w:kern w:val="2"/>
          <w:sz w:val="32"/>
          <w:szCs w:val="32"/>
        </w:rPr>
      </w:pPr>
      <w:r>
        <w:rPr>
          <w:rFonts w:hint="eastAsia" w:ascii="仿宋_GB2312" w:hAnsi="ˎ̥" w:eastAsia="仿宋_GB2312" w:cs="Times New Roman"/>
          <w:b/>
          <w:bCs/>
          <w:color w:val="auto"/>
          <w:kern w:val="2"/>
          <w:sz w:val="32"/>
          <w:szCs w:val="32"/>
          <w:lang w:val="en-US" w:eastAsia="zh-CN"/>
        </w:rPr>
        <w:t>7</w:t>
      </w:r>
      <w:r>
        <w:rPr>
          <w:rFonts w:hint="eastAsia" w:ascii="仿宋_GB2312" w:hAnsi="ˎ̥" w:eastAsia="仿宋_GB2312" w:cs="Times New Roman"/>
          <w:b/>
          <w:bCs/>
          <w:color w:val="auto"/>
          <w:kern w:val="2"/>
          <w:sz w:val="32"/>
          <w:szCs w:val="32"/>
        </w:rPr>
        <w:t>.社会保障和就业支出（类）抚恤（款） 其他优抚支出（项）</w:t>
      </w:r>
    </w:p>
    <w:p w14:paraId="07196EFE">
      <w:pPr>
        <w:spacing w:line="560" w:lineRule="exact"/>
        <w:ind w:firstLine="640" w:firstLineChars="200"/>
        <w:rPr>
          <w:rFonts w:hint="eastAsia" w:ascii="仿宋_GB2312" w:hAnsi="ˎ̥" w:eastAsia="仿宋_GB2312" w:cs="Times New Roman"/>
          <w:color w:val="auto"/>
          <w:kern w:val="2"/>
          <w:sz w:val="32"/>
          <w:szCs w:val="32"/>
        </w:rPr>
      </w:pPr>
      <w:r>
        <w:rPr>
          <w:rFonts w:hint="eastAsia" w:ascii="仿宋_GB2312" w:hAnsi="ˎ̥" w:eastAsia="仿宋_GB2312" w:cs="Times New Roman"/>
          <w:color w:val="auto"/>
          <w:kern w:val="2"/>
          <w:sz w:val="32"/>
          <w:szCs w:val="32"/>
        </w:rPr>
        <w:t>年初预算为</w:t>
      </w:r>
      <w:r>
        <w:rPr>
          <w:rFonts w:hint="eastAsia" w:ascii="仿宋_GB2312" w:hAnsi="ˎ̥" w:eastAsia="仿宋_GB2312" w:cs="Times New Roman"/>
          <w:color w:val="auto"/>
          <w:kern w:val="2"/>
          <w:sz w:val="32"/>
          <w:szCs w:val="32"/>
          <w:lang w:val="en-US" w:eastAsia="zh-CN"/>
        </w:rPr>
        <w:t>2.05</w:t>
      </w:r>
      <w:r>
        <w:rPr>
          <w:rFonts w:hint="eastAsia" w:ascii="仿宋_GB2312" w:hAnsi="ˎ̥" w:eastAsia="仿宋_GB2312" w:cs="Times New Roman"/>
          <w:color w:val="auto"/>
          <w:kern w:val="2"/>
          <w:sz w:val="32"/>
          <w:szCs w:val="32"/>
        </w:rPr>
        <w:t>万元，支出决算为1.75万元，完成年初预算的</w:t>
      </w:r>
      <w:r>
        <w:rPr>
          <w:rFonts w:hint="eastAsia" w:ascii="仿宋_GB2312" w:hAnsi="ˎ̥" w:eastAsia="仿宋_GB2312" w:cs="Times New Roman"/>
          <w:color w:val="auto"/>
          <w:kern w:val="2"/>
          <w:sz w:val="32"/>
          <w:szCs w:val="32"/>
          <w:lang w:val="en-US" w:eastAsia="zh-CN"/>
        </w:rPr>
        <w:t>85.36</w:t>
      </w:r>
      <w:r>
        <w:rPr>
          <w:rFonts w:hint="eastAsia" w:ascii="仿宋_GB2312" w:hAnsi="ˎ̥" w:eastAsia="仿宋_GB2312" w:cs="Times New Roman"/>
          <w:color w:val="auto"/>
          <w:kern w:val="2"/>
          <w:sz w:val="32"/>
          <w:szCs w:val="32"/>
        </w:rPr>
        <w:t>%。决算数小于预算数的主要原因：抚恤金跨年度发放。</w:t>
      </w:r>
    </w:p>
    <w:p w14:paraId="3EF26A5B">
      <w:pPr>
        <w:spacing w:line="560" w:lineRule="exact"/>
        <w:ind w:left="0" w:firstLine="643" w:firstLineChars="200"/>
        <w:rPr>
          <w:rFonts w:hint="eastAsia" w:ascii="仿宋" w:hAnsi="仿宋" w:eastAsia="仿宋" w:cs="仿宋"/>
          <w:b/>
          <w:bCs w:val="0"/>
          <w:color w:val="auto"/>
          <w:kern w:val="0"/>
          <w:sz w:val="32"/>
          <w:szCs w:val="32"/>
        </w:rPr>
      </w:pPr>
      <w:r>
        <w:rPr>
          <w:rFonts w:hint="eastAsia" w:ascii="仿宋_GB2312" w:hAnsi="ˎ̥" w:eastAsia="仿宋_GB2312" w:cs="Times New Roman"/>
          <w:b/>
          <w:bCs/>
          <w:color w:val="auto"/>
          <w:kern w:val="2"/>
          <w:sz w:val="32"/>
          <w:szCs w:val="32"/>
          <w:lang w:val="en-US" w:eastAsia="zh-CN"/>
        </w:rPr>
        <w:t>8</w:t>
      </w:r>
      <w:r>
        <w:rPr>
          <w:rFonts w:hint="eastAsia" w:ascii="仿宋_GB2312" w:hAnsi="ˎ̥" w:eastAsia="仿宋_GB2312" w:cs="Times New Roman"/>
          <w:b/>
          <w:bCs/>
          <w:color w:val="auto"/>
          <w:kern w:val="2"/>
          <w:sz w:val="32"/>
          <w:szCs w:val="32"/>
        </w:rPr>
        <w:t>.卫生健康支出（类）行政事业单位医疗（款）行政单位医疗（项）</w:t>
      </w:r>
    </w:p>
    <w:p w14:paraId="24B4F5CD">
      <w:pPr>
        <w:spacing w:line="560" w:lineRule="exact"/>
        <w:ind w:firstLine="640" w:firstLineChars="200"/>
        <w:rPr>
          <w:rFonts w:hint="eastAsia" w:ascii="仿宋_GB2312" w:hAnsi="ˎ̥" w:eastAsia="仿宋_GB2312" w:cs="Times New Roman"/>
          <w:color w:val="auto"/>
          <w:kern w:val="2"/>
          <w:sz w:val="32"/>
          <w:szCs w:val="32"/>
        </w:rPr>
      </w:pPr>
      <w:r>
        <w:rPr>
          <w:rFonts w:hint="eastAsia" w:ascii="仿宋_GB2312" w:hAnsi="ˎ̥" w:eastAsia="仿宋_GB2312" w:cs="Times New Roman"/>
          <w:color w:val="auto"/>
          <w:kern w:val="2"/>
          <w:sz w:val="32"/>
          <w:szCs w:val="32"/>
        </w:rPr>
        <w:t>年初预算为</w:t>
      </w:r>
      <w:r>
        <w:rPr>
          <w:rFonts w:hint="eastAsia" w:ascii="仿宋_GB2312" w:hAnsi="ˎ̥" w:eastAsia="仿宋_GB2312" w:cs="Times New Roman"/>
          <w:color w:val="auto"/>
          <w:kern w:val="2"/>
          <w:sz w:val="32"/>
          <w:szCs w:val="32"/>
          <w:lang w:val="en-US" w:eastAsia="zh-CN"/>
        </w:rPr>
        <w:t>53.90</w:t>
      </w:r>
      <w:r>
        <w:rPr>
          <w:rFonts w:hint="eastAsia" w:ascii="仿宋_GB2312" w:hAnsi="ˎ̥" w:eastAsia="仿宋_GB2312" w:cs="Times New Roman"/>
          <w:color w:val="auto"/>
          <w:kern w:val="2"/>
          <w:sz w:val="32"/>
          <w:szCs w:val="32"/>
        </w:rPr>
        <w:t>万元，支出决算为</w:t>
      </w:r>
      <w:r>
        <w:rPr>
          <w:rFonts w:hint="eastAsia" w:ascii="仿宋_GB2312" w:hAnsi="ˎ̥" w:eastAsia="仿宋_GB2312" w:cs="Times New Roman"/>
          <w:color w:val="auto"/>
          <w:kern w:val="2"/>
          <w:sz w:val="32"/>
          <w:szCs w:val="32"/>
          <w:lang w:val="en-US" w:eastAsia="zh-CN"/>
        </w:rPr>
        <w:t>68.41</w:t>
      </w:r>
      <w:r>
        <w:rPr>
          <w:rFonts w:hint="eastAsia" w:ascii="仿宋_GB2312" w:hAnsi="ˎ̥" w:eastAsia="仿宋_GB2312" w:cs="Times New Roman"/>
          <w:color w:val="auto"/>
          <w:kern w:val="2"/>
          <w:sz w:val="32"/>
          <w:szCs w:val="32"/>
        </w:rPr>
        <w:t>万元，完成年初预算的</w:t>
      </w:r>
      <w:r>
        <w:rPr>
          <w:rFonts w:hint="eastAsia" w:ascii="仿宋_GB2312" w:hAnsi="ˎ̥" w:eastAsia="仿宋_GB2312" w:cs="Times New Roman"/>
          <w:color w:val="auto"/>
          <w:kern w:val="2"/>
          <w:sz w:val="32"/>
          <w:szCs w:val="32"/>
          <w:lang w:val="en-US" w:eastAsia="zh-CN"/>
        </w:rPr>
        <w:t>126.92</w:t>
      </w:r>
      <w:r>
        <w:rPr>
          <w:rFonts w:hint="eastAsia" w:ascii="仿宋_GB2312" w:hAnsi="ˎ̥" w:eastAsia="仿宋_GB2312" w:cs="Times New Roman"/>
          <w:color w:val="auto"/>
          <w:kern w:val="2"/>
          <w:sz w:val="32"/>
          <w:szCs w:val="32"/>
        </w:rPr>
        <w:t>%。决算数</w:t>
      </w:r>
      <w:r>
        <w:rPr>
          <w:rFonts w:hint="eastAsia" w:ascii="仿宋_GB2312" w:hAnsi="ˎ̥" w:eastAsia="仿宋_GB2312" w:cs="Times New Roman"/>
          <w:color w:val="auto"/>
          <w:kern w:val="2"/>
          <w:sz w:val="32"/>
          <w:szCs w:val="32"/>
          <w:lang w:eastAsia="zh-CN"/>
        </w:rPr>
        <w:t>大</w:t>
      </w:r>
      <w:r>
        <w:rPr>
          <w:rFonts w:hint="eastAsia" w:ascii="仿宋_GB2312" w:hAnsi="ˎ̥" w:eastAsia="仿宋_GB2312" w:cs="Times New Roman"/>
          <w:color w:val="auto"/>
          <w:kern w:val="2"/>
          <w:sz w:val="32"/>
          <w:szCs w:val="32"/>
        </w:rPr>
        <w:t>于预算数的主要原因：</w:t>
      </w:r>
      <w:r>
        <w:rPr>
          <w:rFonts w:hint="eastAsia" w:ascii="仿宋_GB2312" w:hAnsi="ˎ̥" w:eastAsia="仿宋_GB2312" w:cs="Times New Roman"/>
          <w:color w:val="auto"/>
          <w:kern w:val="2"/>
          <w:sz w:val="32"/>
          <w:szCs w:val="32"/>
          <w:lang w:eastAsia="zh-CN"/>
        </w:rPr>
        <w:t>体检费标准提高</w:t>
      </w:r>
      <w:r>
        <w:rPr>
          <w:rFonts w:hint="eastAsia" w:ascii="仿宋_GB2312" w:hAnsi="ˎ̥" w:eastAsia="仿宋_GB2312" w:cs="Times New Roman"/>
          <w:color w:val="auto"/>
          <w:kern w:val="2"/>
          <w:sz w:val="32"/>
          <w:szCs w:val="32"/>
        </w:rPr>
        <w:t>。</w:t>
      </w:r>
    </w:p>
    <w:p w14:paraId="0073E061">
      <w:pPr>
        <w:spacing w:line="560" w:lineRule="exact"/>
        <w:ind w:left="0" w:firstLine="643" w:firstLineChars="200"/>
        <w:rPr>
          <w:rFonts w:hint="eastAsia" w:ascii="仿宋_GB2312" w:hAnsi="ˎ̥" w:eastAsia="仿宋_GB2312" w:cs="Times New Roman"/>
          <w:b/>
          <w:bCs/>
          <w:color w:val="auto"/>
          <w:kern w:val="2"/>
          <w:sz w:val="32"/>
          <w:szCs w:val="32"/>
        </w:rPr>
      </w:pPr>
      <w:r>
        <w:rPr>
          <w:rFonts w:hint="eastAsia" w:ascii="仿宋_GB2312" w:hAnsi="ˎ̥" w:eastAsia="仿宋_GB2312" w:cs="Times New Roman"/>
          <w:b/>
          <w:bCs/>
          <w:color w:val="auto"/>
          <w:kern w:val="2"/>
          <w:sz w:val="32"/>
          <w:szCs w:val="32"/>
          <w:lang w:val="en-US" w:eastAsia="zh-CN"/>
        </w:rPr>
        <w:t>9</w:t>
      </w:r>
      <w:r>
        <w:rPr>
          <w:rFonts w:hint="eastAsia" w:ascii="仿宋_GB2312" w:hAnsi="ˎ̥" w:eastAsia="仿宋_GB2312" w:cs="Times New Roman"/>
          <w:b/>
          <w:bCs/>
          <w:color w:val="auto"/>
          <w:kern w:val="2"/>
          <w:sz w:val="32"/>
          <w:szCs w:val="32"/>
        </w:rPr>
        <w:t>.卫生健康支出（类）行政事业单位医疗（款）公务员医疗补助（项）</w:t>
      </w:r>
    </w:p>
    <w:p w14:paraId="00A95D1F">
      <w:pPr>
        <w:spacing w:line="560" w:lineRule="exact"/>
        <w:ind w:firstLine="640" w:firstLineChars="200"/>
        <w:rPr>
          <w:rFonts w:hint="eastAsia" w:ascii="仿宋" w:hAnsi="仿宋" w:eastAsia="仿宋" w:cs="仿宋"/>
          <w:color w:val="auto"/>
          <w:kern w:val="0"/>
          <w:sz w:val="32"/>
          <w:szCs w:val="32"/>
        </w:rPr>
      </w:pPr>
      <w:r>
        <w:rPr>
          <w:rFonts w:hint="eastAsia" w:ascii="仿宋_GB2312" w:hAnsi="ˎ̥" w:eastAsia="仿宋_GB2312" w:cs="Times New Roman"/>
          <w:color w:val="auto"/>
          <w:kern w:val="2"/>
          <w:sz w:val="32"/>
          <w:szCs w:val="32"/>
        </w:rPr>
        <w:t>年初预算为</w:t>
      </w:r>
      <w:r>
        <w:rPr>
          <w:rFonts w:hint="eastAsia" w:ascii="仿宋_GB2312" w:hAnsi="ˎ̥" w:eastAsia="仿宋_GB2312" w:cs="Times New Roman"/>
          <w:color w:val="auto"/>
          <w:kern w:val="2"/>
          <w:sz w:val="32"/>
          <w:szCs w:val="32"/>
          <w:lang w:val="en-US" w:eastAsia="zh-CN"/>
        </w:rPr>
        <w:t>109.69</w:t>
      </w:r>
      <w:r>
        <w:rPr>
          <w:rFonts w:hint="eastAsia" w:ascii="仿宋_GB2312" w:hAnsi="ˎ̥" w:eastAsia="仿宋_GB2312" w:cs="Times New Roman"/>
          <w:color w:val="auto"/>
          <w:kern w:val="2"/>
          <w:sz w:val="32"/>
          <w:szCs w:val="32"/>
        </w:rPr>
        <w:t>万元，支出决算为</w:t>
      </w:r>
      <w:r>
        <w:rPr>
          <w:rFonts w:hint="eastAsia" w:ascii="仿宋_GB2312" w:hAnsi="ˎ̥" w:eastAsia="仿宋_GB2312" w:cs="Times New Roman"/>
          <w:color w:val="auto"/>
          <w:kern w:val="2"/>
          <w:sz w:val="32"/>
          <w:szCs w:val="32"/>
          <w:lang w:val="en-US" w:eastAsia="zh-CN"/>
        </w:rPr>
        <w:t>131.21</w:t>
      </w:r>
      <w:r>
        <w:rPr>
          <w:rFonts w:hint="eastAsia" w:ascii="仿宋_GB2312" w:hAnsi="ˎ̥" w:eastAsia="仿宋_GB2312" w:cs="Times New Roman"/>
          <w:color w:val="auto"/>
          <w:kern w:val="2"/>
          <w:sz w:val="32"/>
          <w:szCs w:val="32"/>
        </w:rPr>
        <w:t>万元，完成年初预算的</w:t>
      </w:r>
      <w:r>
        <w:rPr>
          <w:rFonts w:hint="eastAsia" w:ascii="仿宋_GB2312" w:hAnsi="ˎ̥" w:eastAsia="仿宋_GB2312" w:cs="Times New Roman"/>
          <w:color w:val="auto"/>
          <w:kern w:val="2"/>
          <w:sz w:val="32"/>
          <w:szCs w:val="32"/>
          <w:lang w:val="en-US" w:eastAsia="zh-CN"/>
        </w:rPr>
        <w:t>119.61</w:t>
      </w:r>
      <w:r>
        <w:rPr>
          <w:rFonts w:hint="eastAsia" w:ascii="仿宋_GB2312" w:hAnsi="ˎ̥" w:eastAsia="仿宋_GB2312" w:cs="Times New Roman"/>
          <w:color w:val="auto"/>
          <w:kern w:val="2"/>
          <w:sz w:val="32"/>
          <w:szCs w:val="32"/>
        </w:rPr>
        <w:t>%。决算数</w:t>
      </w:r>
      <w:r>
        <w:rPr>
          <w:rFonts w:hint="eastAsia" w:ascii="仿宋_GB2312" w:hAnsi="ˎ̥" w:eastAsia="仿宋_GB2312" w:cs="Times New Roman"/>
          <w:color w:val="auto"/>
          <w:kern w:val="2"/>
          <w:sz w:val="32"/>
          <w:szCs w:val="32"/>
          <w:lang w:eastAsia="zh-CN"/>
        </w:rPr>
        <w:t>大</w:t>
      </w:r>
      <w:r>
        <w:rPr>
          <w:rFonts w:hint="eastAsia" w:ascii="仿宋_GB2312" w:hAnsi="ˎ̥" w:eastAsia="仿宋_GB2312" w:cs="Times New Roman"/>
          <w:color w:val="auto"/>
          <w:kern w:val="2"/>
          <w:sz w:val="32"/>
          <w:szCs w:val="32"/>
        </w:rPr>
        <w:t>于预算数的主要原因：</w:t>
      </w:r>
      <w:r>
        <w:rPr>
          <w:rFonts w:hint="eastAsia" w:ascii="仿宋_GB2312" w:hAnsi="ˎ̥" w:eastAsia="仿宋_GB2312" w:cs="Times New Roman"/>
          <w:color w:val="auto"/>
          <w:kern w:val="2"/>
          <w:sz w:val="32"/>
          <w:szCs w:val="32"/>
          <w:lang w:eastAsia="zh-CN"/>
        </w:rPr>
        <w:t>政策性增资</w:t>
      </w:r>
      <w:r>
        <w:rPr>
          <w:rFonts w:hint="eastAsia" w:ascii="仿宋_GB2312" w:hAnsi="ˎ̥" w:eastAsia="仿宋_GB2312" w:cs="Times New Roman"/>
          <w:color w:val="auto"/>
          <w:kern w:val="2"/>
          <w:sz w:val="32"/>
          <w:szCs w:val="32"/>
        </w:rPr>
        <w:t>。</w:t>
      </w:r>
    </w:p>
    <w:p w14:paraId="7AA0D847">
      <w:pPr>
        <w:spacing w:line="560" w:lineRule="exact"/>
        <w:ind w:left="0" w:firstLine="643" w:firstLineChars="200"/>
        <w:rPr>
          <w:rFonts w:hint="eastAsia" w:ascii="仿宋_GB2312" w:hAnsi="ˎ̥" w:eastAsia="仿宋_GB2312" w:cs="Times New Roman"/>
          <w:b/>
          <w:bCs/>
          <w:color w:val="auto"/>
          <w:kern w:val="2"/>
          <w:sz w:val="32"/>
          <w:szCs w:val="32"/>
        </w:rPr>
      </w:pPr>
      <w:r>
        <w:rPr>
          <w:rFonts w:hint="eastAsia" w:ascii="仿宋_GB2312" w:hAnsi="ˎ̥" w:eastAsia="仿宋_GB2312" w:cs="Times New Roman"/>
          <w:b/>
          <w:bCs/>
          <w:color w:val="auto"/>
          <w:kern w:val="2"/>
          <w:sz w:val="32"/>
          <w:szCs w:val="32"/>
          <w:lang w:val="en-US" w:eastAsia="zh-CN"/>
        </w:rPr>
        <w:t>10</w:t>
      </w:r>
      <w:r>
        <w:rPr>
          <w:rFonts w:hint="eastAsia" w:ascii="仿宋_GB2312" w:hAnsi="ˎ̥" w:eastAsia="仿宋_GB2312" w:cs="Times New Roman"/>
          <w:b/>
          <w:bCs/>
          <w:color w:val="auto"/>
          <w:kern w:val="2"/>
          <w:sz w:val="32"/>
          <w:szCs w:val="32"/>
        </w:rPr>
        <w:t>.住房保障支出（类）住房改革支出（款）住房公积金（项）</w:t>
      </w:r>
    </w:p>
    <w:p w14:paraId="28B18A0E">
      <w:pPr>
        <w:spacing w:line="560" w:lineRule="exact"/>
        <w:ind w:firstLine="640" w:firstLineChars="200"/>
        <w:rPr>
          <w:rFonts w:hint="eastAsia" w:ascii="仿宋_GB2312" w:hAnsi="ˎ̥" w:eastAsia="仿宋_GB2312" w:cs="Times New Roman"/>
          <w:color w:val="auto"/>
          <w:kern w:val="2"/>
          <w:sz w:val="32"/>
          <w:szCs w:val="32"/>
        </w:rPr>
      </w:pPr>
      <w:r>
        <w:rPr>
          <w:rFonts w:hint="eastAsia" w:ascii="仿宋_GB2312" w:hAnsi="ˎ̥" w:eastAsia="仿宋_GB2312" w:cs="Times New Roman"/>
          <w:color w:val="auto"/>
          <w:kern w:val="2"/>
          <w:sz w:val="32"/>
          <w:szCs w:val="32"/>
        </w:rPr>
        <w:t>年初预算为113.63万元，支出决算为131.63万元，完成年初预算的</w:t>
      </w:r>
      <w:r>
        <w:rPr>
          <w:rFonts w:hint="eastAsia" w:ascii="仿宋_GB2312" w:hAnsi="ˎ̥" w:eastAsia="仿宋_GB2312" w:cs="Times New Roman"/>
          <w:color w:val="auto"/>
          <w:kern w:val="2"/>
          <w:sz w:val="32"/>
          <w:szCs w:val="32"/>
          <w:lang w:val="en-US" w:eastAsia="zh-CN"/>
        </w:rPr>
        <w:t>115.84</w:t>
      </w:r>
      <w:r>
        <w:rPr>
          <w:rFonts w:hint="eastAsia" w:ascii="仿宋_GB2312" w:hAnsi="ˎ̥" w:eastAsia="仿宋_GB2312" w:cs="Times New Roman"/>
          <w:color w:val="auto"/>
          <w:kern w:val="2"/>
          <w:sz w:val="32"/>
          <w:szCs w:val="32"/>
        </w:rPr>
        <w:t>%。决算数大于预算数的主要原因：</w:t>
      </w:r>
      <w:r>
        <w:rPr>
          <w:rFonts w:hint="eastAsia" w:ascii="仿宋_GB2312" w:hAnsi="ˎ̥" w:eastAsia="仿宋_GB2312" w:cs="Times New Roman"/>
          <w:color w:val="auto"/>
          <w:kern w:val="2"/>
          <w:sz w:val="32"/>
          <w:szCs w:val="32"/>
          <w:lang w:eastAsia="zh-CN"/>
        </w:rPr>
        <w:t>政策性</w:t>
      </w:r>
      <w:r>
        <w:rPr>
          <w:rFonts w:hint="eastAsia" w:ascii="仿宋_GB2312" w:hAnsi="ˎ̥" w:eastAsia="仿宋_GB2312" w:cs="Times New Roman"/>
          <w:color w:val="auto"/>
          <w:kern w:val="2"/>
          <w:sz w:val="32"/>
          <w:szCs w:val="32"/>
        </w:rPr>
        <w:t>增资。</w:t>
      </w:r>
    </w:p>
    <w:p w14:paraId="6D673C16">
      <w:pPr>
        <w:spacing w:line="560" w:lineRule="exact"/>
        <w:ind w:firstLine="627" w:firstLineChars="196"/>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33D8DAE8">
      <w:pPr>
        <w:tabs>
          <w:tab w:val="center" w:pos="4473"/>
        </w:tabs>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2,048.55</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1,871.58</w:t>
      </w:r>
      <w:r>
        <w:rPr>
          <w:rFonts w:hint="eastAsia" w:ascii="仿宋_GB2312" w:hAnsi="ˎ̥" w:eastAsia="仿宋_GB2312"/>
          <w:color w:val="auto"/>
          <w:sz w:val="32"/>
          <w:szCs w:val="32"/>
        </w:rPr>
        <w:t>万元，主要包括：工资福利支出中的基本工资、津贴补贴、奖金、机关事业单位基本养老保险缴费、职业年金缴费、职工基本医疗保险缴费、公务员医疗补助缴费、其他社会保障缴费、住房公积金、医疗费、其他工资福利支出；对个人和家庭的补助中的生活补助、奖励金。公用经费</w:t>
      </w:r>
      <w:r>
        <w:rPr>
          <w:rFonts w:ascii="仿宋_GB2312" w:hAnsi="ˎ̥" w:eastAsia="仿宋_GB2312"/>
          <w:color w:val="auto"/>
          <w:sz w:val="32"/>
          <w:szCs w:val="32"/>
          <w:lang w:val="en-US"/>
        </w:rPr>
        <w:t>176.97</w:t>
      </w:r>
      <w:r>
        <w:rPr>
          <w:rFonts w:hint="eastAsia" w:ascii="仿宋_GB2312" w:hAnsi="ˎ̥" w:eastAsia="仿宋_GB2312"/>
          <w:color w:val="auto"/>
          <w:sz w:val="32"/>
          <w:szCs w:val="32"/>
        </w:rPr>
        <w:t>万元，主要包括：商品和服务支出中的办公费、水费、电费、邮电费、培训费</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工会经费、公务用车运行维护费、其他交通费用、其他商品和服务支出。</w:t>
      </w:r>
    </w:p>
    <w:p w14:paraId="46BD318D">
      <w:pPr>
        <w:tabs>
          <w:tab w:val="center" w:pos="4473"/>
        </w:tabs>
        <w:spacing w:line="560" w:lineRule="exact"/>
        <w:ind w:firstLine="627" w:firstLineChars="196"/>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459B53AF">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14:paraId="3D19BE46">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399.75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10.81</w:t>
      </w:r>
      <w:r>
        <w:rPr>
          <w:rFonts w:hint="eastAsia" w:ascii="仿宋_GB2312" w:hAnsi="ˎ̥" w:eastAsia="仿宋_GB2312"/>
          <w:color w:val="auto"/>
          <w:sz w:val="32"/>
          <w:szCs w:val="32"/>
        </w:rPr>
        <w:t>%。与202</w:t>
      </w:r>
      <w:r>
        <w:rPr>
          <w:rFonts w:ascii="仿宋_GB2312" w:hAnsi="ˎ̥" w:eastAsia="仿宋_GB2312"/>
          <w:color w:val="auto"/>
          <w:sz w:val="32"/>
          <w:szCs w:val="32"/>
        </w:rPr>
        <w:t>2</w:t>
      </w:r>
      <w:r>
        <w:rPr>
          <w:rFonts w:hint="eastAsia" w:ascii="仿宋_GB2312" w:hAnsi="ˎ̥" w:eastAsia="仿宋_GB2312"/>
          <w:color w:val="auto"/>
          <w:sz w:val="32"/>
          <w:szCs w:val="32"/>
        </w:rPr>
        <w:t>年度相比，政府性基金预算财政拨款支出减少</w:t>
      </w:r>
      <w:r>
        <w:rPr>
          <w:rFonts w:hint="eastAsia" w:ascii="仿宋_GB2312" w:hAnsi="ˎ̥" w:eastAsia="仿宋_GB2312"/>
          <w:color w:val="auto"/>
          <w:sz w:val="32"/>
          <w:szCs w:val="32"/>
          <w:lang w:val="en-US" w:eastAsia="zh-CN"/>
        </w:rPr>
        <w:t>18.73</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4.48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根据工程进度支付警犬基地建设工程款</w:t>
      </w:r>
      <w:r>
        <w:rPr>
          <w:rFonts w:hint="eastAsia" w:ascii="仿宋_GB2312" w:hAnsi="ˎ̥" w:eastAsia="仿宋_GB2312"/>
          <w:color w:val="auto"/>
          <w:sz w:val="32"/>
          <w:szCs w:val="32"/>
        </w:rPr>
        <w:t>。</w:t>
      </w:r>
    </w:p>
    <w:p w14:paraId="4B6C7AB0">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34D8C61C">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399.75</w:t>
      </w:r>
      <w:r>
        <w:rPr>
          <w:rFonts w:hint="eastAsia" w:ascii="仿宋_GB2312" w:hAnsi="ˎ̥" w:eastAsia="仿宋_GB2312"/>
          <w:color w:val="auto"/>
          <w:sz w:val="32"/>
          <w:szCs w:val="32"/>
        </w:rPr>
        <w:t>万元，主要用于以下方面：</w:t>
      </w:r>
      <w:r>
        <w:rPr>
          <w:rFonts w:hint="default" w:ascii="仿宋_GB2312" w:hAnsi="ˎ̥" w:eastAsia="仿宋_GB2312"/>
          <w:color w:val="auto"/>
          <w:sz w:val="32"/>
          <w:szCs w:val="32"/>
          <w:lang w:val="en-US"/>
        </w:rPr>
        <w:t>城乡社区支出</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399.75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2A80B5D2">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4EBB09DD">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400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399.75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99.94</w:t>
      </w:r>
      <w:r>
        <w:rPr>
          <w:rFonts w:hint="eastAsia" w:ascii="仿宋_GB2312" w:hAnsi="ˎ̥" w:eastAsia="仿宋_GB2312"/>
          <w:color w:val="auto"/>
          <w:sz w:val="32"/>
          <w:szCs w:val="32"/>
        </w:rPr>
        <w:t>%。其中：</w:t>
      </w:r>
    </w:p>
    <w:p w14:paraId="36F0AF4E">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1.</w:t>
      </w:r>
      <w:r>
        <w:rPr>
          <w:rFonts w:hint="default" w:ascii="仿宋_GB2312" w:hAnsi="ˎ̥" w:eastAsia="仿宋_GB2312"/>
          <w:color w:val="auto"/>
          <w:sz w:val="32"/>
          <w:szCs w:val="32"/>
          <w:lang w:val="en-US"/>
        </w:rPr>
        <w:t>城乡社区支出</w:t>
      </w:r>
      <w:r>
        <w:rPr>
          <w:rFonts w:hint="eastAsia" w:ascii="仿宋_GB2312" w:hAnsi="ˎ̥" w:eastAsia="仿宋_GB2312"/>
          <w:color w:val="auto"/>
          <w:sz w:val="32"/>
          <w:szCs w:val="32"/>
        </w:rPr>
        <w:t>（类）</w:t>
      </w:r>
      <w:r>
        <w:rPr>
          <w:rFonts w:hint="default" w:ascii="仿宋_GB2312" w:hAnsi="ˎ̥" w:eastAsia="仿宋_GB2312"/>
          <w:color w:val="auto"/>
          <w:sz w:val="32"/>
          <w:szCs w:val="32"/>
          <w:lang w:val="en-US"/>
        </w:rPr>
        <w:t>国有土地使用权出让收入安排的支出</w:t>
      </w:r>
      <w:r>
        <w:rPr>
          <w:rFonts w:hint="eastAsia" w:ascii="仿宋_GB2312" w:hAnsi="ˎ̥" w:eastAsia="仿宋_GB2312"/>
          <w:color w:val="auto"/>
          <w:sz w:val="32"/>
          <w:szCs w:val="32"/>
        </w:rPr>
        <w:t>（款）</w:t>
      </w:r>
      <w:r>
        <w:rPr>
          <w:rFonts w:hint="default" w:ascii="仿宋_GB2312" w:hAnsi="ˎ̥" w:eastAsia="仿宋_GB2312"/>
          <w:color w:val="auto"/>
          <w:sz w:val="32"/>
          <w:szCs w:val="32"/>
          <w:lang w:val="en-US"/>
        </w:rPr>
        <w:t>其他国有土地使用权出让收入安排的支出</w:t>
      </w:r>
      <w:r>
        <w:rPr>
          <w:rFonts w:hint="eastAsia" w:ascii="仿宋_GB2312" w:hAnsi="ˎ̥" w:eastAsia="仿宋_GB2312"/>
          <w:color w:val="auto"/>
          <w:sz w:val="32"/>
          <w:szCs w:val="32"/>
        </w:rPr>
        <w:t>（项）。</w:t>
      </w:r>
    </w:p>
    <w:p w14:paraId="40649536">
      <w:pPr>
        <w:spacing w:line="560" w:lineRule="exact"/>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399.75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99.94</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按工程进度拨款。</w:t>
      </w:r>
    </w:p>
    <w:p w14:paraId="7C036F9C">
      <w:pPr>
        <w:tabs>
          <w:tab w:val="center" w:pos="4473"/>
        </w:tabs>
        <w:spacing w:line="560" w:lineRule="exact"/>
        <w:ind w:firstLine="627" w:firstLineChars="196"/>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12DFC027">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14:paraId="6B3680FE">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%。与202</w:t>
      </w:r>
      <w:r>
        <w:rPr>
          <w:rFonts w:ascii="仿宋_GB2312" w:hAnsi="ˎ̥" w:eastAsia="仿宋_GB2312"/>
          <w:color w:val="auto"/>
          <w:sz w:val="32"/>
          <w:szCs w:val="32"/>
        </w:rPr>
        <w:t>2</w:t>
      </w:r>
      <w:r>
        <w:rPr>
          <w:rFonts w:hint="eastAsia" w:ascii="仿宋_GB2312" w:hAnsi="ˎ̥" w:eastAsia="仿宋_GB2312"/>
          <w:color w:val="auto"/>
          <w:sz w:val="32"/>
          <w:szCs w:val="32"/>
        </w:rPr>
        <w:t>年度相比，国有资本经营预算财政拨款支出</w:t>
      </w:r>
      <w:r>
        <w:rPr>
          <w:rFonts w:hint="eastAsia" w:ascii="仿宋_GB2312" w:hAnsi="ˎ̥" w:eastAsia="仿宋_GB2312"/>
          <w:color w:val="auto"/>
          <w:sz w:val="32"/>
          <w:szCs w:val="32"/>
          <w:lang w:eastAsia="zh-CN"/>
        </w:rPr>
        <w:t>持平</w:t>
      </w:r>
      <w:r>
        <w:rPr>
          <w:rFonts w:hint="eastAsia" w:ascii="仿宋_GB2312" w:hAnsi="ˎ̥" w:eastAsia="仿宋_GB2312"/>
          <w:color w:val="auto"/>
          <w:sz w:val="32"/>
          <w:szCs w:val="32"/>
        </w:rPr>
        <w:t>。</w:t>
      </w:r>
    </w:p>
    <w:p w14:paraId="460FD136">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6F12DB83">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w:t>
      </w:r>
    </w:p>
    <w:p w14:paraId="56F742AC">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53B8BDBB">
      <w:pPr>
        <w:tabs>
          <w:tab w:val="center" w:pos="4473"/>
        </w:tabs>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2D15BA3C">
      <w:pPr>
        <w:spacing w:line="560" w:lineRule="exact"/>
        <w:ind w:firstLine="627" w:firstLineChars="196"/>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59485B0E">
      <w:pPr>
        <w:spacing w:line="560"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745BAAF4">
      <w:pPr>
        <w:spacing w:line="560" w:lineRule="exact"/>
        <w:rPr>
          <w:rFonts w:hint="eastAsia" w:ascii="仿宋_GB2312" w:hAnsi="ˎ̥" w:eastAsia="仿宋_GB2312"/>
          <w:color w:val="auto"/>
          <w:sz w:val="32"/>
          <w:szCs w:val="32"/>
        </w:rPr>
      </w:pPr>
      <w:r>
        <w:rPr>
          <w:rFonts w:hint="eastAsia" w:ascii="仿宋_GB2312" w:hAnsi="ˎ̥" w:eastAsia="仿宋_GB2312"/>
          <w:color w:val="auto"/>
          <w:sz w:val="32"/>
          <w:szCs w:val="32"/>
        </w:rPr>
        <w:t xml:space="preserve">    202</w:t>
      </w:r>
      <w:r>
        <w:rPr>
          <w:rFonts w:ascii="仿宋_GB2312" w:hAnsi="ˎ̥" w:eastAsia="仿宋_GB2312"/>
          <w:color w:val="auto"/>
          <w:sz w:val="32"/>
          <w:szCs w:val="32"/>
        </w:rPr>
        <w:t>3</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56.34</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55.85</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99.13</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eastAsia" w:ascii="仿宋_GB2312" w:hAnsi="ˎ̥" w:eastAsia="仿宋_GB2312"/>
          <w:color w:val="auto"/>
          <w:sz w:val="32"/>
          <w:szCs w:val="32"/>
        </w:rPr>
        <w:t>2022年度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1.66</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2.90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压缩经费支出</w:t>
      </w:r>
      <w:r>
        <w:rPr>
          <w:rFonts w:hint="eastAsia" w:ascii="仿宋_GB2312" w:hAnsi="ˎ̥" w:eastAsia="仿宋_GB2312"/>
          <w:color w:val="auto"/>
          <w:sz w:val="32"/>
          <w:szCs w:val="32"/>
        </w:rPr>
        <w:t>。</w:t>
      </w:r>
    </w:p>
    <w:p w14:paraId="6F155743">
      <w:pPr>
        <w:spacing w:line="560" w:lineRule="exact"/>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78D81DC2">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2023年度财政拨款“三公”经费支出决算中，因公出国（境）费支出决算</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55.85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14:paraId="055B0C82">
      <w:pPr>
        <w:spacing w:line="560" w:lineRule="exact"/>
        <w:ind w:firstLine="643" w:firstLineChars="200"/>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14:paraId="7974F9B2">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%。与2022年度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5D1F71BA">
      <w:pPr>
        <w:spacing w:line="560" w:lineRule="exact"/>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2.公务用车购置及运行维护费支出</w:t>
      </w:r>
      <w:r>
        <w:rPr>
          <w:rFonts w:hint="default" w:ascii="仿宋_GB2312" w:hAnsi="ˎ̥" w:eastAsia="仿宋_GB2312"/>
          <w:color w:val="auto"/>
          <w:sz w:val="32"/>
          <w:szCs w:val="32"/>
          <w:lang w:val="en-US"/>
        </w:rPr>
        <w:t>55.85</w:t>
      </w:r>
      <w:r>
        <w:rPr>
          <w:rFonts w:hint="eastAsia" w:ascii="仿宋_GB2312" w:hAnsi="ˎ̥" w:eastAsia="仿宋_GB2312"/>
          <w:color w:val="auto"/>
          <w:sz w:val="32"/>
          <w:szCs w:val="32"/>
        </w:rPr>
        <w:t>万元。其中：</w:t>
      </w:r>
    </w:p>
    <w:p w14:paraId="7025FF24">
      <w:pPr>
        <w:spacing w:line="560" w:lineRule="exact"/>
        <w:ind w:firstLine="643" w:firstLineChars="200"/>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辆，年末公务用车保有量</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辆。</w:t>
      </w:r>
    </w:p>
    <w:p w14:paraId="1C83A446">
      <w:pPr>
        <w:spacing w:line="560" w:lineRule="exact"/>
        <w:ind w:firstLine="643" w:firstLineChars="200"/>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55.85</w:t>
      </w:r>
      <w:r>
        <w:rPr>
          <w:rFonts w:hint="eastAsia" w:ascii="仿宋_GB2312" w:hAnsi="ˎ̥" w:eastAsia="仿宋_GB2312"/>
          <w:color w:val="auto"/>
          <w:sz w:val="32"/>
          <w:szCs w:val="32"/>
        </w:rPr>
        <w:t>万元，主要用于</w:t>
      </w:r>
      <w:r>
        <w:rPr>
          <w:rFonts w:hint="eastAsia" w:ascii="仿宋" w:hAnsi="仿宋" w:eastAsia="仿宋" w:cs="仿宋"/>
          <w:color w:val="auto"/>
          <w:kern w:val="0"/>
          <w:sz w:val="32"/>
          <w:szCs w:val="32"/>
        </w:rPr>
        <w:t>油料费、车辆保险费购买及年检费用</w:t>
      </w:r>
      <w:r>
        <w:rPr>
          <w:rFonts w:hint="eastAsia" w:ascii="仿宋_GB2312" w:hAnsi="ˎ̥" w:eastAsia="仿宋_GB2312"/>
          <w:color w:val="auto"/>
          <w:sz w:val="32"/>
          <w:szCs w:val="32"/>
        </w:rPr>
        <w:t>。</w:t>
      </w:r>
    </w:p>
    <w:p w14:paraId="536337C9">
      <w:pPr>
        <w:spacing w:line="560" w:lineRule="exact"/>
        <w:ind w:firstLine="640" w:firstLineChars="200"/>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%。与2022年度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1.66</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2.90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压缩经费支出</w:t>
      </w:r>
      <w:r>
        <w:rPr>
          <w:rFonts w:hint="eastAsia" w:ascii="仿宋_GB2312" w:hAnsi="ˎ̥" w:eastAsia="仿宋_GB2312"/>
          <w:color w:val="auto"/>
          <w:sz w:val="32"/>
          <w:szCs w:val="32"/>
        </w:rPr>
        <w:t>。</w:t>
      </w:r>
    </w:p>
    <w:p w14:paraId="67E999A7">
      <w:pPr>
        <w:spacing w:line="560" w:lineRule="exact"/>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3.公务接待费支出</w:t>
      </w:r>
      <w:r>
        <w:rPr>
          <w:rFonts w:hint="default" w:ascii="仿宋_GB2312" w:hAnsi="ˎ̥" w:eastAsia="仿宋_GB2312"/>
          <w:color w:val="auto"/>
          <w:sz w:val="32"/>
          <w:szCs w:val="32"/>
          <w:lang w:val="en-US"/>
        </w:rPr>
        <w:t>0</w:t>
      </w:r>
      <w:r>
        <w:rPr>
          <w:rFonts w:hint="eastAsia" w:ascii="仿宋_GB2312" w:hAnsi="ˎ̥" w:eastAsia="仿宋_GB2312"/>
          <w:color w:val="auto"/>
          <w:sz w:val="32"/>
          <w:szCs w:val="32"/>
        </w:rPr>
        <w:t>万元，其中：</w:t>
      </w:r>
    </w:p>
    <w:p w14:paraId="3BB43370">
      <w:pPr>
        <w:spacing w:line="560" w:lineRule="exact"/>
        <w:ind w:firstLine="643" w:firstLineChars="200"/>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14:paraId="16121F6D">
      <w:pPr>
        <w:spacing w:line="560" w:lineRule="exact"/>
        <w:ind w:firstLine="643" w:firstLineChars="200"/>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14:paraId="094E7D03">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%。与2022年度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1B038622">
      <w:pPr>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14:paraId="64A4BE52">
      <w:pPr>
        <w:spacing w:line="560"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14:paraId="1D6B846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根据预算管理要求，我单位组织对202</w:t>
      </w:r>
      <w:r>
        <w:rPr>
          <w:rFonts w:ascii="仿宋_GB2312" w:eastAsia="仿宋_GB2312"/>
          <w:color w:val="auto"/>
          <w:sz w:val="32"/>
          <w:szCs w:val="32"/>
        </w:rPr>
        <w:t>3</w:t>
      </w:r>
      <w:r>
        <w:rPr>
          <w:rFonts w:hint="eastAsia" w:ascii="仿宋_GB2312" w:eastAsia="仿宋_GB2312"/>
          <w:color w:val="auto"/>
          <w:sz w:val="32"/>
          <w:szCs w:val="32"/>
        </w:rPr>
        <w:t>年度一般公共预算项目支出全面开展绩效自评。</w:t>
      </w:r>
      <w:r>
        <w:rPr>
          <w:rFonts w:hint="eastAsia" w:ascii="仿宋_GB2312" w:eastAsia="仿宋_GB2312"/>
          <w:color w:val="auto"/>
          <w:sz w:val="32"/>
          <w:szCs w:val="32"/>
          <w:lang w:bidi="ar"/>
        </w:rPr>
        <w:t>其中，一级项目</w:t>
      </w:r>
      <w:r>
        <w:rPr>
          <w:rFonts w:hint="eastAsia" w:ascii="仿宋_GB2312" w:eastAsia="仿宋_GB2312"/>
          <w:color w:val="auto"/>
          <w:sz w:val="32"/>
          <w:szCs w:val="32"/>
          <w:lang w:val="en-US" w:eastAsia="zh-CN" w:bidi="ar"/>
        </w:rPr>
        <w:t>16</w:t>
      </w:r>
      <w:r>
        <w:rPr>
          <w:rFonts w:hint="eastAsia" w:ascii="仿宋_GB2312" w:eastAsia="仿宋_GB2312"/>
          <w:color w:val="auto"/>
          <w:sz w:val="32"/>
          <w:szCs w:val="32"/>
          <w:lang w:bidi="ar"/>
        </w:rPr>
        <w:t>个，二级项目</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个，共涉及资金</w:t>
      </w:r>
      <w:r>
        <w:rPr>
          <w:rFonts w:hint="eastAsia" w:ascii="仿宋_GB2312" w:eastAsia="仿宋_GB2312"/>
          <w:color w:val="auto"/>
          <w:sz w:val="32"/>
          <w:szCs w:val="32"/>
          <w:lang w:val="en-US" w:eastAsia="zh-CN" w:bidi="ar"/>
        </w:rPr>
        <w:t>2751.96</w:t>
      </w:r>
      <w:r>
        <w:rPr>
          <w:rFonts w:hint="eastAsia" w:ascii="仿宋_GB2312" w:eastAsia="仿宋_GB2312"/>
          <w:color w:val="auto"/>
          <w:sz w:val="32"/>
          <w:szCs w:val="32"/>
          <w:lang w:bidi="ar"/>
        </w:rPr>
        <w:t>万元，占一般公共预算项目支出总额的</w:t>
      </w:r>
      <w:r>
        <w:rPr>
          <w:rFonts w:hint="eastAsia" w:ascii="仿宋_GB2312" w:eastAsia="仿宋_GB2312"/>
          <w:color w:val="auto"/>
          <w:sz w:val="32"/>
          <w:szCs w:val="32"/>
          <w:lang w:val="en-US" w:eastAsia="zh-CN" w:bidi="ar"/>
        </w:rPr>
        <w:t>100</w:t>
      </w:r>
      <w:r>
        <w:rPr>
          <w:rFonts w:hint="eastAsia" w:ascii="仿宋_GB2312" w:eastAsia="仿宋_GB2312"/>
          <w:color w:val="auto"/>
          <w:sz w:val="32"/>
          <w:szCs w:val="32"/>
          <w:lang w:bidi="ar"/>
        </w:rPr>
        <w:t>%。组织对202</w:t>
      </w:r>
      <w:r>
        <w:rPr>
          <w:rFonts w:ascii="仿宋_GB2312" w:eastAsia="仿宋_GB2312"/>
          <w:color w:val="auto"/>
          <w:sz w:val="32"/>
          <w:szCs w:val="32"/>
          <w:lang w:bidi="ar"/>
        </w:rPr>
        <w:t>3</w:t>
      </w:r>
      <w:r>
        <w:rPr>
          <w:rFonts w:hint="eastAsia" w:ascii="仿宋_GB2312" w:eastAsia="仿宋_GB2312"/>
          <w:color w:val="auto"/>
          <w:sz w:val="32"/>
          <w:szCs w:val="32"/>
          <w:lang w:bidi="ar"/>
        </w:rPr>
        <w:t>年度</w:t>
      </w:r>
      <w:r>
        <w:rPr>
          <w:rFonts w:hint="eastAsia" w:ascii="仿宋_GB2312" w:hAnsi="宋体" w:eastAsia="仿宋_GB2312" w:cs="仿宋_GB2312"/>
          <w:color w:val="auto"/>
          <w:kern w:val="0"/>
          <w:sz w:val="32"/>
          <w:szCs w:val="32"/>
        </w:rPr>
        <w:t>警犬基地工程项目</w:t>
      </w:r>
      <w:r>
        <w:rPr>
          <w:rFonts w:hint="eastAsia" w:ascii="仿宋_GB2312" w:hAnsi="宋体" w:eastAsia="仿宋_GB2312" w:cs="仿宋_GB2312"/>
          <w:color w:val="auto"/>
          <w:kern w:val="0"/>
          <w:sz w:val="32"/>
          <w:szCs w:val="32"/>
          <w:lang w:eastAsia="zh-CN"/>
        </w:rPr>
        <w:t>（一期）</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1</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400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100</w:t>
      </w:r>
      <w:r>
        <w:rPr>
          <w:rFonts w:hint="eastAsia" w:ascii="仿宋_GB2312" w:eastAsia="仿宋_GB2312"/>
          <w:color w:val="auto"/>
          <w:sz w:val="32"/>
          <w:szCs w:val="32"/>
          <w:lang w:bidi="ar"/>
        </w:rPr>
        <w:t>%。组织对202</w:t>
      </w:r>
      <w:r>
        <w:rPr>
          <w:rFonts w:ascii="仿宋_GB2312" w:eastAsia="仿宋_GB2312"/>
          <w:color w:val="auto"/>
          <w:sz w:val="32"/>
          <w:szCs w:val="32"/>
          <w:lang w:bidi="ar"/>
        </w:rPr>
        <w:t>3</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 xml:space="preserve">个国有资本经营预算项目开展绩效自评，共涉及资金 </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14:paraId="64A0AFE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办案业务</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999</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400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p>
    <w:p w14:paraId="17BD882C">
      <w:pPr>
        <w:numPr>
          <w:ilvl w:val="0"/>
          <w:numId w:val="0"/>
        </w:numPr>
        <w:spacing w:line="560"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lang w:eastAsia="zh-CN"/>
        </w:rPr>
        <w:t>（二）</w:t>
      </w:r>
      <w:r>
        <w:rPr>
          <w:rFonts w:hint="eastAsia" w:ascii="楷体" w:hAnsi="楷体" w:eastAsia="楷体" w:cs="楷体"/>
          <w:bCs/>
          <w:color w:val="auto"/>
          <w:sz w:val="32"/>
          <w:szCs w:val="32"/>
        </w:rPr>
        <w:t>部门决算中项目绩效自评结果</w:t>
      </w:r>
    </w:p>
    <w:p w14:paraId="5907F62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办案业务</w:t>
      </w:r>
      <w:r>
        <w:rPr>
          <w:rFonts w:hint="eastAsia" w:ascii="仿宋_GB2312" w:eastAsia="仿宋_GB2312"/>
          <w:color w:val="auto"/>
          <w:sz w:val="32"/>
          <w:szCs w:val="32"/>
        </w:rPr>
        <w:t>项目绩效自评表：</w:t>
      </w:r>
    </w:p>
    <w:tbl>
      <w:tblPr>
        <w:tblStyle w:val="4"/>
        <w:tblW w:w="59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8"/>
        <w:gridCol w:w="835"/>
        <w:gridCol w:w="1540"/>
        <w:gridCol w:w="1161"/>
        <w:gridCol w:w="390"/>
        <w:gridCol w:w="246"/>
        <w:gridCol w:w="406"/>
        <w:gridCol w:w="186"/>
        <w:gridCol w:w="422"/>
        <w:gridCol w:w="362"/>
        <w:gridCol w:w="126"/>
        <w:gridCol w:w="390"/>
        <w:gridCol w:w="235"/>
        <w:gridCol w:w="747"/>
        <w:gridCol w:w="20"/>
        <w:gridCol w:w="214"/>
        <w:gridCol w:w="533"/>
        <w:gridCol w:w="234"/>
        <w:gridCol w:w="375"/>
        <w:gridCol w:w="126"/>
        <w:gridCol w:w="96"/>
        <w:gridCol w:w="126"/>
        <w:gridCol w:w="96"/>
        <w:gridCol w:w="126"/>
        <w:gridCol w:w="177"/>
        <w:gridCol w:w="222"/>
        <w:gridCol w:w="12"/>
        <w:gridCol w:w="210"/>
      </w:tblGrid>
      <w:tr w14:paraId="6150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349" w:type="pct"/>
          <w:trHeight w:val="510" w:hRule="atLeast"/>
        </w:trPr>
        <w:tc>
          <w:tcPr>
            <w:tcW w:w="4443" w:type="pct"/>
            <w:gridSpan w:val="1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1B5B1">
            <w:pPr>
              <w:keepNext w:val="0"/>
              <w:keepLines w:val="0"/>
              <w:widowControl/>
              <w:suppressLineNumbers w:val="0"/>
              <w:spacing w:line="560" w:lineRule="exact"/>
              <w:jc w:val="center"/>
              <w:textAlignment w:val="center"/>
              <w:rPr>
                <w:rFonts w:ascii="等线" w:hAnsi="等线" w:eastAsia="等线" w:cs="等线"/>
                <w:b/>
                <w:bCs/>
                <w:i w:val="0"/>
                <w:iCs w:val="0"/>
                <w:color w:val="auto"/>
                <w:sz w:val="40"/>
                <w:szCs w:val="40"/>
                <w:u w:val="none"/>
              </w:rPr>
            </w:pPr>
            <w:r>
              <w:rPr>
                <w:rFonts w:hint="default" w:ascii="等线" w:hAnsi="等线" w:eastAsia="等线" w:cs="等线"/>
                <w:b/>
                <w:bCs/>
                <w:i w:val="0"/>
                <w:iCs w:val="0"/>
                <w:color w:val="auto"/>
                <w:kern w:val="0"/>
                <w:sz w:val="40"/>
                <w:szCs w:val="40"/>
                <w:u w:val="none"/>
                <w:lang w:val="en-US" w:eastAsia="zh-CN" w:bidi="ar"/>
              </w:rPr>
              <w:t xml:space="preserve">项目支出绩效自评表 </w:t>
            </w:r>
          </w:p>
        </w:tc>
        <w:tc>
          <w:tcPr>
            <w:tcW w:w="103" w:type="pct"/>
            <w:gridSpan w:val="2"/>
            <w:tcBorders>
              <w:top w:val="nil"/>
              <w:left w:val="nil"/>
              <w:bottom w:val="nil"/>
              <w:right w:val="nil"/>
            </w:tcBorders>
            <w:shd w:val="clear" w:color="auto" w:fill="FFFFFF"/>
            <w:noWrap/>
            <w:vAlign w:val="center"/>
          </w:tcPr>
          <w:p w14:paraId="0890CD9E">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6F422E67">
            <w:pPr>
              <w:spacing w:line="560" w:lineRule="exact"/>
              <w:rPr>
                <w:rFonts w:hint="eastAsia" w:ascii="宋体" w:hAnsi="宋体" w:eastAsia="宋体" w:cs="宋体"/>
                <w:i w:val="0"/>
                <w:iCs w:val="0"/>
                <w:color w:val="auto"/>
                <w:sz w:val="24"/>
                <w:szCs w:val="24"/>
                <w:u w:val="none"/>
              </w:rPr>
            </w:pPr>
          </w:p>
        </w:tc>
      </w:tr>
      <w:tr w14:paraId="5982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90" w:type="pct"/>
          <w:trHeight w:val="432" w:hRule="atLeast"/>
        </w:trPr>
        <w:tc>
          <w:tcPr>
            <w:tcW w:w="5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4F95F">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项目名称:</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66F24A9">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46020021T000000011199-办案业务</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23743">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填报人:</w:t>
            </w:r>
          </w:p>
        </w:tc>
        <w:tc>
          <w:tcPr>
            <w:tcW w:w="573" w:type="pct"/>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033276B">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李华</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8889C">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联系方式:</w:t>
            </w:r>
          </w:p>
        </w:tc>
        <w:tc>
          <w:tcPr>
            <w:tcW w:w="1342"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21B54">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13016257666</w:t>
            </w:r>
          </w:p>
        </w:tc>
        <w:tc>
          <w:tcPr>
            <w:tcW w:w="103" w:type="pct"/>
            <w:gridSpan w:val="2"/>
            <w:tcBorders>
              <w:top w:val="nil"/>
              <w:left w:val="nil"/>
              <w:bottom w:val="nil"/>
              <w:right w:val="nil"/>
            </w:tcBorders>
            <w:shd w:val="clear" w:color="auto" w:fill="FFFFFF"/>
            <w:noWrap/>
            <w:vAlign w:val="center"/>
          </w:tcPr>
          <w:p w14:paraId="08569EE3">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30032692">
            <w:pPr>
              <w:spacing w:line="560" w:lineRule="exact"/>
              <w:rPr>
                <w:rFonts w:hint="eastAsia" w:ascii="宋体" w:hAnsi="宋体" w:eastAsia="宋体" w:cs="宋体"/>
                <w:i w:val="0"/>
                <w:iCs w:val="0"/>
                <w:color w:val="auto"/>
                <w:sz w:val="24"/>
                <w:szCs w:val="24"/>
                <w:u w:val="none"/>
              </w:rPr>
            </w:pPr>
          </w:p>
        </w:tc>
      </w:tr>
      <w:tr w14:paraId="62EB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90" w:type="pct"/>
          <w:trHeight w:val="398" w:hRule="atLeast"/>
        </w:trPr>
        <w:tc>
          <w:tcPr>
            <w:tcW w:w="5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A87FB">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主管部门:</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28ACC58">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312-三亚市公安局</w:t>
            </w:r>
          </w:p>
        </w:tc>
        <w:tc>
          <w:tcPr>
            <w:tcW w:w="5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461F2">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实施单位:</w:t>
            </w:r>
          </w:p>
        </w:tc>
        <w:tc>
          <w:tcPr>
            <w:tcW w:w="2341" w:type="pct"/>
            <w:gridSpan w:val="16"/>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9EBBE8E">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312012-三亚市公安局特警（防暴）支队</w:t>
            </w:r>
          </w:p>
        </w:tc>
        <w:tc>
          <w:tcPr>
            <w:tcW w:w="103" w:type="pct"/>
            <w:gridSpan w:val="2"/>
            <w:tcBorders>
              <w:top w:val="nil"/>
              <w:left w:val="nil"/>
              <w:bottom w:val="nil"/>
              <w:right w:val="nil"/>
            </w:tcBorders>
            <w:shd w:val="clear" w:color="auto" w:fill="FFFFFF"/>
            <w:noWrap/>
            <w:vAlign w:val="center"/>
          </w:tcPr>
          <w:p w14:paraId="0344FC14">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67F15135">
            <w:pPr>
              <w:spacing w:line="560" w:lineRule="exact"/>
              <w:rPr>
                <w:rFonts w:hint="eastAsia" w:ascii="宋体" w:hAnsi="宋体" w:eastAsia="宋体" w:cs="宋体"/>
                <w:i w:val="0"/>
                <w:iCs w:val="0"/>
                <w:color w:val="auto"/>
                <w:sz w:val="24"/>
                <w:szCs w:val="24"/>
                <w:u w:val="none"/>
              </w:rPr>
            </w:pPr>
          </w:p>
        </w:tc>
      </w:tr>
      <w:tr w14:paraId="5F12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90" w:type="pct"/>
          <w:trHeight w:val="398" w:hRule="atLeast"/>
        </w:trPr>
        <w:tc>
          <w:tcPr>
            <w:tcW w:w="508" w:type="pct"/>
            <w:tcBorders>
              <w:top w:val="nil"/>
              <w:left w:val="nil"/>
              <w:bottom w:val="nil"/>
              <w:right w:val="nil"/>
            </w:tcBorders>
            <w:shd w:val="clear" w:color="auto" w:fill="FFFFFF"/>
            <w:noWrap/>
            <w:vAlign w:val="center"/>
          </w:tcPr>
          <w:p w14:paraId="0BFEB72A">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是否公开：</w:t>
            </w:r>
          </w:p>
        </w:tc>
        <w:tc>
          <w:tcPr>
            <w:tcW w:w="110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E45C">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否</w:t>
            </w:r>
          </w:p>
        </w:tc>
        <w:tc>
          <w:tcPr>
            <w:tcW w:w="542" w:type="pct"/>
            <w:tcBorders>
              <w:top w:val="single" w:color="000000" w:sz="4" w:space="0"/>
              <w:left w:val="nil"/>
              <w:bottom w:val="single" w:color="000000" w:sz="4" w:space="0"/>
              <w:right w:val="single" w:color="000000" w:sz="4" w:space="0"/>
            </w:tcBorders>
            <w:shd w:val="clear" w:color="auto" w:fill="FFFFFF"/>
            <w:noWrap/>
            <w:vAlign w:val="center"/>
          </w:tcPr>
          <w:p w14:paraId="1C0BD936">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网址：</w:t>
            </w:r>
          </w:p>
        </w:tc>
        <w:tc>
          <w:tcPr>
            <w:tcW w:w="2341" w:type="pct"/>
            <w:gridSpan w:val="1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C5A00">
            <w:pPr>
              <w:spacing w:line="560" w:lineRule="exact"/>
              <w:rPr>
                <w:rFonts w:hint="default" w:ascii="等线" w:hAnsi="等线" w:eastAsia="等线" w:cs="等线"/>
                <w:i w:val="0"/>
                <w:iCs w:val="0"/>
                <w:color w:val="auto"/>
                <w:sz w:val="22"/>
                <w:szCs w:val="22"/>
                <w:u w:val="none"/>
              </w:rPr>
            </w:pPr>
          </w:p>
        </w:tc>
        <w:tc>
          <w:tcPr>
            <w:tcW w:w="103" w:type="pct"/>
            <w:gridSpan w:val="2"/>
            <w:tcBorders>
              <w:top w:val="nil"/>
              <w:left w:val="nil"/>
              <w:bottom w:val="nil"/>
              <w:right w:val="nil"/>
            </w:tcBorders>
            <w:shd w:val="clear" w:color="auto" w:fill="FFFFFF"/>
            <w:noWrap/>
            <w:vAlign w:val="center"/>
          </w:tcPr>
          <w:p w14:paraId="1C11DBC5">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531B542F">
            <w:pPr>
              <w:spacing w:line="560" w:lineRule="exact"/>
              <w:rPr>
                <w:rFonts w:hint="eastAsia" w:ascii="宋体" w:hAnsi="宋体" w:eastAsia="宋体" w:cs="宋体"/>
                <w:i w:val="0"/>
                <w:iCs w:val="0"/>
                <w:color w:val="auto"/>
                <w:sz w:val="24"/>
                <w:szCs w:val="24"/>
                <w:u w:val="none"/>
              </w:rPr>
            </w:pPr>
          </w:p>
        </w:tc>
      </w:tr>
      <w:tr w14:paraId="657D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BD932">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资金构成(元)</w:t>
            </w:r>
          </w:p>
        </w:tc>
        <w:tc>
          <w:tcPr>
            <w:tcW w:w="719" w:type="pct"/>
            <w:tcBorders>
              <w:top w:val="single" w:color="000000" w:sz="4" w:space="0"/>
              <w:left w:val="nil"/>
              <w:bottom w:val="single" w:color="000000" w:sz="4" w:space="0"/>
              <w:right w:val="nil"/>
            </w:tcBorders>
            <w:shd w:val="clear" w:color="auto" w:fill="FFFFFF"/>
            <w:noWrap w:val="0"/>
            <w:vAlign w:val="center"/>
          </w:tcPr>
          <w:p w14:paraId="24806CEB">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年初预算数</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F5B93">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全年预算数</w:t>
            </w:r>
          </w:p>
        </w:tc>
        <w:tc>
          <w:tcPr>
            <w:tcW w:w="998" w:type="pct"/>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0DB14">
            <w:pPr>
              <w:pStyle w:val="2"/>
              <w:bidi w:val="0"/>
              <w:spacing w:line="560" w:lineRule="exact"/>
              <w:rPr>
                <w:rFonts w:hint="default"/>
                <w:color w:val="auto"/>
              </w:rPr>
            </w:pPr>
            <w:r>
              <w:rPr>
                <w:rFonts w:hint="default"/>
                <w:color w:val="auto"/>
                <w:lang w:val="en-US" w:eastAsia="zh-CN"/>
              </w:rPr>
              <w:t>执行数</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43E35">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分值</w:t>
            </w:r>
          </w:p>
        </w:tc>
        <w:tc>
          <w:tcPr>
            <w:tcW w:w="358" w:type="pct"/>
            <w:gridSpan w:val="3"/>
            <w:tcBorders>
              <w:top w:val="single" w:color="000000" w:sz="4" w:space="0"/>
              <w:left w:val="single" w:color="000000" w:sz="4" w:space="0"/>
              <w:bottom w:val="single" w:color="000000" w:sz="4" w:space="0"/>
              <w:right w:val="nil"/>
            </w:tcBorders>
            <w:shd w:val="clear" w:color="auto" w:fill="FFFFFF"/>
            <w:noWrap w:val="0"/>
            <w:vAlign w:val="center"/>
          </w:tcPr>
          <w:p w14:paraId="3EE91ABB">
            <w:pPr>
              <w:keepNext w:val="0"/>
              <w:keepLines w:val="0"/>
              <w:widowControl/>
              <w:suppressLineNumbers w:val="0"/>
              <w:spacing w:line="560" w:lineRule="exact"/>
              <w:jc w:val="left"/>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执行率（%）</w:t>
            </w:r>
          </w:p>
        </w:tc>
        <w:tc>
          <w:tcPr>
            <w:tcW w:w="633" w:type="pct"/>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65624">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得分</w:t>
            </w:r>
          </w:p>
        </w:tc>
        <w:tc>
          <w:tcPr>
            <w:tcW w:w="103" w:type="pct"/>
            <w:tcBorders>
              <w:top w:val="nil"/>
              <w:left w:val="nil"/>
              <w:bottom w:val="nil"/>
              <w:right w:val="nil"/>
            </w:tcBorders>
            <w:shd w:val="clear" w:color="auto" w:fill="FFFFFF"/>
            <w:noWrap/>
            <w:vAlign w:val="center"/>
          </w:tcPr>
          <w:p w14:paraId="59A55F24">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281DC001">
            <w:pPr>
              <w:spacing w:line="560" w:lineRule="exact"/>
              <w:rPr>
                <w:rFonts w:hint="eastAsia" w:ascii="宋体" w:hAnsi="宋体" w:eastAsia="宋体" w:cs="宋体"/>
                <w:i w:val="0"/>
                <w:iCs w:val="0"/>
                <w:color w:val="auto"/>
                <w:sz w:val="24"/>
                <w:szCs w:val="24"/>
                <w:u w:val="none"/>
              </w:rPr>
            </w:pPr>
          </w:p>
        </w:tc>
      </w:tr>
      <w:tr w14:paraId="315A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69A4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资金总额：</w:t>
            </w:r>
          </w:p>
        </w:tc>
        <w:tc>
          <w:tcPr>
            <w:tcW w:w="71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D4F5B51">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2,600,000.00</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7117951">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3,530,000.00</w:t>
            </w:r>
          </w:p>
        </w:tc>
        <w:tc>
          <w:tcPr>
            <w:tcW w:w="998" w:type="pct"/>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6735EE9">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3,495,327.54</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8C586A0">
            <w:pPr>
              <w:keepNext w:val="0"/>
              <w:keepLines w:val="0"/>
              <w:widowControl/>
              <w:suppressLineNumbers w:val="0"/>
              <w:spacing w:line="560" w:lineRule="exact"/>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 xml:space="preserve">10.00 </w:t>
            </w: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195D5A3">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99.02</w:t>
            </w:r>
          </w:p>
        </w:tc>
        <w:tc>
          <w:tcPr>
            <w:tcW w:w="633" w:type="pct"/>
            <w:gridSpan w:val="8"/>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10D2DA41">
            <w:pPr>
              <w:keepNext w:val="0"/>
              <w:keepLines w:val="0"/>
              <w:widowControl/>
              <w:suppressLineNumbers w:val="0"/>
              <w:tabs>
                <w:tab w:val="left" w:pos="210"/>
              </w:tabs>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9.9</w:t>
            </w:r>
          </w:p>
        </w:tc>
        <w:tc>
          <w:tcPr>
            <w:tcW w:w="103" w:type="pct"/>
            <w:tcBorders>
              <w:top w:val="nil"/>
              <w:left w:val="nil"/>
              <w:bottom w:val="nil"/>
              <w:right w:val="nil"/>
            </w:tcBorders>
            <w:shd w:val="clear" w:color="auto" w:fill="FFFFFF"/>
            <w:noWrap/>
            <w:vAlign w:val="center"/>
          </w:tcPr>
          <w:p w14:paraId="42DC0A18">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480EE60C">
            <w:pPr>
              <w:spacing w:line="560" w:lineRule="exact"/>
              <w:rPr>
                <w:rFonts w:hint="eastAsia" w:ascii="宋体" w:hAnsi="宋体" w:eastAsia="宋体" w:cs="宋体"/>
                <w:i w:val="0"/>
                <w:iCs w:val="0"/>
                <w:color w:val="auto"/>
                <w:sz w:val="24"/>
                <w:szCs w:val="24"/>
                <w:u w:val="none"/>
              </w:rPr>
            </w:pPr>
          </w:p>
        </w:tc>
      </w:tr>
      <w:tr w14:paraId="676E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1DE96">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其中：财政资金：</w:t>
            </w:r>
          </w:p>
        </w:tc>
        <w:tc>
          <w:tcPr>
            <w:tcW w:w="71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4DC0CD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2,600,000.00</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3E100E7">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3,530,000.00</w:t>
            </w:r>
          </w:p>
        </w:tc>
        <w:tc>
          <w:tcPr>
            <w:tcW w:w="998" w:type="pct"/>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9FD2BDC">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3,495,327.54</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7826E69">
            <w:pPr>
              <w:spacing w:line="560" w:lineRule="exact"/>
              <w:jc w:val="right"/>
              <w:rPr>
                <w:rFonts w:hint="default" w:ascii="等线" w:hAnsi="等线" w:eastAsia="等线" w:cs="等线"/>
                <w:i w:val="0"/>
                <w:iCs w:val="0"/>
                <w:color w:val="auto"/>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C562A9A">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99.02</w:t>
            </w:r>
          </w:p>
        </w:tc>
        <w:tc>
          <w:tcPr>
            <w:tcW w:w="633" w:type="pct"/>
            <w:gridSpan w:val="8"/>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7F1E6AB">
            <w:pPr>
              <w:spacing w:line="560" w:lineRule="exact"/>
              <w:jc w:val="right"/>
              <w:rPr>
                <w:rFonts w:hint="default" w:ascii="等线" w:hAnsi="等线" w:eastAsia="等线" w:cs="等线"/>
                <w:i w:val="0"/>
                <w:iCs w:val="0"/>
                <w:color w:val="auto"/>
                <w:sz w:val="22"/>
                <w:szCs w:val="22"/>
                <w:u w:val="none"/>
              </w:rPr>
            </w:pPr>
          </w:p>
        </w:tc>
        <w:tc>
          <w:tcPr>
            <w:tcW w:w="103" w:type="pct"/>
            <w:tcBorders>
              <w:top w:val="nil"/>
              <w:left w:val="nil"/>
              <w:bottom w:val="nil"/>
              <w:right w:val="nil"/>
            </w:tcBorders>
            <w:shd w:val="clear" w:color="auto" w:fill="FFFFFF"/>
            <w:noWrap/>
            <w:vAlign w:val="center"/>
          </w:tcPr>
          <w:p w14:paraId="5354EE95">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54295936">
            <w:pPr>
              <w:spacing w:line="560" w:lineRule="exact"/>
              <w:rPr>
                <w:rFonts w:hint="eastAsia" w:ascii="宋体" w:hAnsi="宋体" w:eastAsia="宋体" w:cs="宋体"/>
                <w:i w:val="0"/>
                <w:iCs w:val="0"/>
                <w:color w:val="auto"/>
                <w:sz w:val="24"/>
                <w:szCs w:val="24"/>
                <w:u w:val="none"/>
              </w:rPr>
            </w:pPr>
          </w:p>
        </w:tc>
      </w:tr>
      <w:tr w14:paraId="606E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C631C">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单位资金：</w:t>
            </w:r>
          </w:p>
        </w:tc>
        <w:tc>
          <w:tcPr>
            <w:tcW w:w="71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188ACBF">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65ABF4F">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998" w:type="pct"/>
            <w:gridSpan w:val="7"/>
            <w:tcBorders>
              <w:top w:val="nil"/>
              <w:left w:val="nil"/>
              <w:bottom w:val="nil"/>
              <w:right w:val="nil"/>
            </w:tcBorders>
            <w:shd w:val="clear" w:color="auto" w:fill="C0C0C0"/>
            <w:noWrap w:val="0"/>
            <w:vAlign w:val="center"/>
          </w:tcPr>
          <w:p w14:paraId="6AE9EA11">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A04FA93">
            <w:pPr>
              <w:spacing w:line="560" w:lineRule="exact"/>
              <w:jc w:val="right"/>
              <w:rPr>
                <w:rFonts w:hint="default" w:ascii="等线" w:hAnsi="等线" w:eastAsia="等线" w:cs="等线"/>
                <w:i w:val="0"/>
                <w:iCs w:val="0"/>
                <w:color w:val="auto"/>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B281F88">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w:t>
            </w:r>
          </w:p>
        </w:tc>
        <w:tc>
          <w:tcPr>
            <w:tcW w:w="633" w:type="pct"/>
            <w:gridSpan w:val="8"/>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F244E36">
            <w:pPr>
              <w:spacing w:line="560" w:lineRule="exact"/>
              <w:jc w:val="right"/>
              <w:rPr>
                <w:rFonts w:hint="default" w:ascii="等线" w:hAnsi="等线" w:eastAsia="等线" w:cs="等线"/>
                <w:i w:val="0"/>
                <w:iCs w:val="0"/>
                <w:color w:val="auto"/>
                <w:sz w:val="22"/>
                <w:szCs w:val="22"/>
                <w:u w:val="none"/>
              </w:rPr>
            </w:pPr>
          </w:p>
        </w:tc>
        <w:tc>
          <w:tcPr>
            <w:tcW w:w="103" w:type="pct"/>
            <w:tcBorders>
              <w:top w:val="nil"/>
              <w:left w:val="nil"/>
              <w:bottom w:val="nil"/>
              <w:right w:val="nil"/>
            </w:tcBorders>
            <w:shd w:val="clear" w:color="auto" w:fill="FFFFFF"/>
            <w:noWrap/>
            <w:vAlign w:val="center"/>
          </w:tcPr>
          <w:p w14:paraId="056294C4">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1635699F">
            <w:pPr>
              <w:spacing w:line="560" w:lineRule="exact"/>
              <w:rPr>
                <w:rFonts w:hint="eastAsia" w:ascii="宋体" w:hAnsi="宋体" w:eastAsia="宋体" w:cs="宋体"/>
                <w:i w:val="0"/>
                <w:iCs w:val="0"/>
                <w:color w:val="auto"/>
                <w:sz w:val="24"/>
                <w:szCs w:val="24"/>
                <w:u w:val="none"/>
              </w:rPr>
            </w:pPr>
          </w:p>
        </w:tc>
      </w:tr>
      <w:tr w14:paraId="3676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7FE32">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财政专户管理资金：</w:t>
            </w:r>
          </w:p>
        </w:tc>
        <w:tc>
          <w:tcPr>
            <w:tcW w:w="71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E09957">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615A573">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998" w:type="pct"/>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5C6C213">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DB57B35">
            <w:pPr>
              <w:spacing w:line="560" w:lineRule="exact"/>
              <w:jc w:val="right"/>
              <w:rPr>
                <w:rFonts w:hint="default" w:ascii="等线" w:hAnsi="等线" w:eastAsia="等线" w:cs="等线"/>
                <w:i w:val="0"/>
                <w:iCs w:val="0"/>
                <w:color w:val="auto"/>
                <w:sz w:val="22"/>
                <w:szCs w:val="22"/>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472A765">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w:t>
            </w:r>
          </w:p>
        </w:tc>
        <w:tc>
          <w:tcPr>
            <w:tcW w:w="633" w:type="pct"/>
            <w:gridSpan w:val="8"/>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E575EE3">
            <w:pPr>
              <w:spacing w:line="560" w:lineRule="exact"/>
              <w:jc w:val="right"/>
              <w:rPr>
                <w:rFonts w:hint="default" w:ascii="等线" w:hAnsi="等线" w:eastAsia="等线" w:cs="等线"/>
                <w:i w:val="0"/>
                <w:iCs w:val="0"/>
                <w:color w:val="auto"/>
                <w:sz w:val="22"/>
                <w:szCs w:val="22"/>
                <w:u w:val="none"/>
              </w:rPr>
            </w:pPr>
          </w:p>
        </w:tc>
        <w:tc>
          <w:tcPr>
            <w:tcW w:w="103" w:type="pct"/>
            <w:tcBorders>
              <w:top w:val="nil"/>
              <w:left w:val="nil"/>
              <w:bottom w:val="nil"/>
              <w:right w:val="nil"/>
            </w:tcBorders>
            <w:shd w:val="clear" w:color="auto" w:fill="FFFFFF"/>
            <w:noWrap/>
            <w:vAlign w:val="center"/>
          </w:tcPr>
          <w:p w14:paraId="3DF2B714">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53CE4986">
            <w:pPr>
              <w:spacing w:line="560" w:lineRule="exact"/>
              <w:rPr>
                <w:rFonts w:hint="eastAsia" w:ascii="宋体" w:hAnsi="宋体" w:eastAsia="宋体" w:cs="宋体"/>
                <w:i w:val="0"/>
                <w:iCs w:val="0"/>
                <w:color w:val="auto"/>
                <w:sz w:val="24"/>
                <w:szCs w:val="24"/>
                <w:u w:val="none"/>
              </w:rPr>
            </w:pPr>
          </w:p>
        </w:tc>
      </w:tr>
      <w:tr w14:paraId="26BB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90" w:type="pct"/>
          <w:trHeight w:val="285" w:hRule="atLeast"/>
        </w:trPr>
        <w:tc>
          <w:tcPr>
            <w:tcW w:w="2160"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CD999">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年度目标</w:t>
            </w:r>
          </w:p>
        </w:tc>
        <w:tc>
          <w:tcPr>
            <w:tcW w:w="2341" w:type="pct"/>
            <w:gridSpan w:val="1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E4D78">
            <w:pPr>
              <w:keepNext w:val="0"/>
              <w:keepLines w:val="0"/>
              <w:widowControl/>
              <w:suppressLineNumbers w:val="0"/>
              <w:spacing w:line="560" w:lineRule="exact"/>
              <w:ind w:right="-664" w:rightChars="-316"/>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年度目标完成情况</w:t>
            </w:r>
          </w:p>
        </w:tc>
        <w:tc>
          <w:tcPr>
            <w:tcW w:w="103" w:type="pct"/>
            <w:gridSpan w:val="2"/>
            <w:tcBorders>
              <w:top w:val="nil"/>
              <w:left w:val="nil"/>
              <w:bottom w:val="nil"/>
              <w:right w:val="nil"/>
            </w:tcBorders>
            <w:shd w:val="clear" w:color="auto" w:fill="FFFFFF"/>
            <w:noWrap/>
            <w:vAlign w:val="center"/>
          </w:tcPr>
          <w:p w14:paraId="712938BB">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0150451C">
            <w:pPr>
              <w:spacing w:line="560" w:lineRule="exact"/>
              <w:rPr>
                <w:rFonts w:hint="eastAsia" w:ascii="宋体" w:hAnsi="宋体" w:eastAsia="宋体" w:cs="宋体"/>
                <w:i w:val="0"/>
                <w:iCs w:val="0"/>
                <w:color w:val="auto"/>
                <w:sz w:val="24"/>
                <w:szCs w:val="24"/>
                <w:u w:val="none"/>
              </w:rPr>
            </w:pPr>
          </w:p>
        </w:tc>
      </w:tr>
      <w:tr w14:paraId="219D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90" w:type="pct"/>
          <w:trHeight w:val="1778" w:hRule="atLeast"/>
        </w:trPr>
        <w:tc>
          <w:tcPr>
            <w:tcW w:w="2160" w:type="pct"/>
            <w:gridSpan w:val="4"/>
            <w:tcBorders>
              <w:top w:val="single" w:color="000000" w:sz="4" w:space="0"/>
              <w:left w:val="single" w:color="000000" w:sz="4" w:space="0"/>
              <w:bottom w:val="single" w:color="000000" w:sz="4" w:space="0"/>
              <w:right w:val="single" w:color="000000" w:sz="4" w:space="0"/>
            </w:tcBorders>
            <w:shd w:val="clear" w:color="auto" w:fill="C0C0C0"/>
            <w:noWrap w:val="0"/>
            <w:vAlign w:val="top"/>
          </w:tcPr>
          <w:p w14:paraId="78015C5E">
            <w:pPr>
              <w:keepNext w:val="0"/>
              <w:keepLines w:val="0"/>
              <w:widowControl/>
              <w:suppressLineNumbers w:val="0"/>
              <w:spacing w:line="560" w:lineRule="exact"/>
              <w:jc w:val="left"/>
              <w:textAlignment w:val="top"/>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　确保警犬技能训练物品的购置、带犬人员的培训及警犬的驯养费、医药费等费用使用，从而保障日常及突发事件的工作正常进行。通过打黑除恶、刑事侦查确保日常及各类突发事件和重大安保工作更全面的进行。</w:t>
            </w:r>
          </w:p>
        </w:tc>
        <w:tc>
          <w:tcPr>
            <w:tcW w:w="2341" w:type="pct"/>
            <w:gridSpan w:val="16"/>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E4DEAA8">
            <w:pPr>
              <w:keepNext w:val="0"/>
              <w:keepLines w:val="0"/>
              <w:widowControl/>
              <w:suppressLineNumbers w:val="0"/>
              <w:spacing w:line="560" w:lineRule="exact"/>
              <w:jc w:val="left"/>
              <w:textAlignment w:val="top"/>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确保警犬技能训练物品的购置、带犬人员的培训及警犬的驯养费、医药费等费用使用，从而保障日常及突发事件的工作正常进行。通过打黑除恶、刑事侦查确保日常及各类突发事件和重大安保工作更全面的进行。</w:t>
            </w:r>
          </w:p>
        </w:tc>
        <w:tc>
          <w:tcPr>
            <w:tcW w:w="103" w:type="pct"/>
            <w:gridSpan w:val="2"/>
            <w:tcBorders>
              <w:top w:val="nil"/>
              <w:left w:val="nil"/>
              <w:bottom w:val="nil"/>
              <w:right w:val="nil"/>
            </w:tcBorders>
            <w:shd w:val="clear" w:color="auto" w:fill="FFFFFF"/>
            <w:noWrap/>
            <w:vAlign w:val="center"/>
          </w:tcPr>
          <w:p w14:paraId="0AE9989F">
            <w:pPr>
              <w:spacing w:line="560" w:lineRule="exact"/>
              <w:rPr>
                <w:rFonts w:hint="eastAsia" w:ascii="宋体" w:hAnsi="宋体" w:eastAsia="宋体" w:cs="宋体"/>
                <w:i w:val="0"/>
                <w:iCs w:val="0"/>
                <w:color w:val="auto"/>
                <w:sz w:val="24"/>
                <w:szCs w:val="24"/>
                <w:u w:val="none"/>
              </w:rPr>
            </w:pPr>
          </w:p>
        </w:tc>
        <w:tc>
          <w:tcPr>
            <w:tcW w:w="103" w:type="pct"/>
            <w:gridSpan w:val="2"/>
            <w:tcBorders>
              <w:top w:val="nil"/>
              <w:left w:val="nil"/>
              <w:bottom w:val="nil"/>
              <w:right w:val="nil"/>
            </w:tcBorders>
            <w:shd w:val="clear" w:color="auto" w:fill="FFFFFF"/>
            <w:noWrap/>
            <w:vAlign w:val="center"/>
          </w:tcPr>
          <w:p w14:paraId="52C172BE">
            <w:pPr>
              <w:spacing w:line="560" w:lineRule="exact"/>
              <w:rPr>
                <w:rFonts w:hint="eastAsia" w:ascii="宋体" w:hAnsi="宋体" w:eastAsia="宋体" w:cs="宋体"/>
                <w:i w:val="0"/>
                <w:iCs w:val="0"/>
                <w:color w:val="auto"/>
                <w:sz w:val="24"/>
                <w:szCs w:val="24"/>
                <w:u w:val="none"/>
              </w:rPr>
            </w:pPr>
          </w:p>
        </w:tc>
      </w:tr>
      <w:tr w14:paraId="554E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 w:type="pct"/>
          <w:trHeight w:val="4852" w:hRule="atLeast"/>
        </w:trPr>
        <w:tc>
          <w:tcPr>
            <w:tcW w:w="5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17328">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一级指标</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C7C6C">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二级指标</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8E239">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三级指标</w:t>
            </w:r>
          </w:p>
        </w:tc>
        <w:tc>
          <w:tcPr>
            <w:tcW w:w="542" w:type="pct"/>
            <w:tcBorders>
              <w:top w:val="single" w:color="000000" w:sz="4" w:space="0"/>
              <w:left w:val="nil"/>
              <w:bottom w:val="single" w:color="000000" w:sz="4" w:space="0"/>
              <w:right w:val="single" w:color="000000" w:sz="4" w:space="0"/>
            </w:tcBorders>
            <w:shd w:val="clear" w:color="auto" w:fill="FFFFFF"/>
            <w:noWrap w:val="0"/>
            <w:vAlign w:val="center"/>
          </w:tcPr>
          <w:p w14:paraId="2D329027">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指标性质</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B8E92">
            <w:pPr>
              <w:keepNext w:val="0"/>
              <w:keepLines w:val="0"/>
              <w:widowControl/>
              <w:suppressLineNumbers w:val="0"/>
              <w:tabs>
                <w:tab w:val="left" w:pos="210"/>
              </w:tabs>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年度指标值</w:t>
            </w:r>
          </w:p>
        </w:tc>
        <w:tc>
          <w:tcPr>
            <w:tcW w:w="1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864DE">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度量单位</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5AB1C">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实际完成值</w:t>
            </w:r>
          </w:p>
        </w:tc>
        <w:tc>
          <w:tcPr>
            <w:tcW w:w="520"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3E935">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完成率</w:t>
            </w:r>
          </w:p>
        </w:tc>
        <w:tc>
          <w:tcPr>
            <w:tcW w:w="458"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CE3E0">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分值</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7B7BC">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得分</w:t>
            </w:r>
          </w:p>
        </w:tc>
        <w:tc>
          <w:tcPr>
            <w:tcW w:w="633"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5269D">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未完成原因分析</w:t>
            </w:r>
          </w:p>
        </w:tc>
      </w:tr>
      <w:tr w14:paraId="205A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 w:type="pct"/>
          <w:trHeight w:val="1908" w:hRule="atLeast"/>
        </w:trPr>
        <w:tc>
          <w:tcPr>
            <w:tcW w:w="50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5870F85">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产出指标</w:t>
            </w:r>
          </w:p>
        </w:tc>
        <w:tc>
          <w:tcPr>
            <w:tcW w:w="39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6D83E9E">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质量指标</w:t>
            </w:r>
          </w:p>
        </w:tc>
        <w:tc>
          <w:tcPr>
            <w:tcW w:w="71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D9C4E7C">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打黑除恶、刑事侦查案件完成率</w:t>
            </w:r>
          </w:p>
        </w:tc>
        <w:tc>
          <w:tcPr>
            <w:tcW w:w="542"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660B152">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BBC55C9">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95</w:t>
            </w:r>
          </w:p>
        </w:tc>
        <w:tc>
          <w:tcPr>
            <w:tcW w:w="1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5EEE319">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940B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95</w:t>
            </w:r>
          </w:p>
        </w:tc>
        <w:tc>
          <w:tcPr>
            <w:tcW w:w="520"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D2AA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8"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9BE239C">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40.00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909219B">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40</w:t>
            </w:r>
          </w:p>
        </w:tc>
        <w:tc>
          <w:tcPr>
            <w:tcW w:w="633" w:type="pct"/>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23255">
            <w:pPr>
              <w:spacing w:line="560" w:lineRule="exact"/>
              <w:rPr>
                <w:rFonts w:hint="default" w:ascii="等线" w:hAnsi="等线" w:eastAsia="等线" w:cs="等线"/>
                <w:i w:val="0"/>
                <w:iCs w:val="0"/>
                <w:color w:val="auto"/>
                <w:sz w:val="22"/>
                <w:szCs w:val="22"/>
                <w:u w:val="none"/>
              </w:rPr>
            </w:pPr>
          </w:p>
        </w:tc>
      </w:tr>
      <w:tr w14:paraId="00D8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 w:type="pct"/>
          <w:trHeight w:val="623" w:hRule="atLeast"/>
        </w:trPr>
        <w:tc>
          <w:tcPr>
            <w:tcW w:w="50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5DA4AEA">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498DAFC">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经济效益指标</w:t>
            </w:r>
          </w:p>
        </w:tc>
        <w:tc>
          <w:tcPr>
            <w:tcW w:w="71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0C3E899">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警犬、带犬人员合格达标率</w:t>
            </w:r>
          </w:p>
        </w:tc>
        <w:tc>
          <w:tcPr>
            <w:tcW w:w="542"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5D990A6">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520DF02">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95</w:t>
            </w:r>
          </w:p>
        </w:tc>
        <w:tc>
          <w:tcPr>
            <w:tcW w:w="1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962717A">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A64DF">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95</w:t>
            </w:r>
          </w:p>
        </w:tc>
        <w:tc>
          <w:tcPr>
            <w:tcW w:w="520"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58967">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8"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AB378D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20.00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333D8A8">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20</w:t>
            </w:r>
          </w:p>
        </w:tc>
        <w:tc>
          <w:tcPr>
            <w:tcW w:w="633" w:type="pct"/>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1025D">
            <w:pPr>
              <w:spacing w:line="560" w:lineRule="exact"/>
              <w:rPr>
                <w:rFonts w:hint="default" w:ascii="等线" w:hAnsi="等线" w:eastAsia="等线" w:cs="等线"/>
                <w:i w:val="0"/>
                <w:iCs w:val="0"/>
                <w:color w:val="auto"/>
                <w:sz w:val="22"/>
                <w:szCs w:val="22"/>
                <w:u w:val="none"/>
              </w:rPr>
            </w:pPr>
          </w:p>
        </w:tc>
      </w:tr>
      <w:tr w14:paraId="78CB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 w:type="pct"/>
          <w:trHeight w:val="623" w:hRule="atLeast"/>
        </w:trPr>
        <w:tc>
          <w:tcPr>
            <w:tcW w:w="50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C440D5C">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效益指标</w:t>
            </w:r>
          </w:p>
        </w:tc>
        <w:tc>
          <w:tcPr>
            <w:tcW w:w="39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70AE768">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社会效益指标</w:t>
            </w:r>
          </w:p>
        </w:tc>
        <w:tc>
          <w:tcPr>
            <w:tcW w:w="71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A8C3F6F">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应急处置到位及时率</w:t>
            </w:r>
          </w:p>
        </w:tc>
        <w:tc>
          <w:tcPr>
            <w:tcW w:w="542"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A39865A">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88A6D04">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90</w:t>
            </w:r>
          </w:p>
        </w:tc>
        <w:tc>
          <w:tcPr>
            <w:tcW w:w="1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B137D35">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61F64">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90</w:t>
            </w:r>
          </w:p>
        </w:tc>
        <w:tc>
          <w:tcPr>
            <w:tcW w:w="520"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42772">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8"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D232641">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20.00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29B8685">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20</w:t>
            </w:r>
          </w:p>
        </w:tc>
        <w:tc>
          <w:tcPr>
            <w:tcW w:w="633" w:type="pct"/>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BF482">
            <w:pPr>
              <w:spacing w:line="560" w:lineRule="exact"/>
              <w:rPr>
                <w:rFonts w:hint="default" w:ascii="等线" w:hAnsi="等线" w:eastAsia="等线" w:cs="等线"/>
                <w:i w:val="0"/>
                <w:iCs w:val="0"/>
                <w:color w:val="auto"/>
                <w:sz w:val="22"/>
                <w:szCs w:val="22"/>
                <w:u w:val="none"/>
              </w:rPr>
            </w:pPr>
          </w:p>
        </w:tc>
      </w:tr>
      <w:tr w14:paraId="54EE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 w:type="pct"/>
          <w:trHeight w:val="1720" w:hRule="atLeast"/>
        </w:trPr>
        <w:tc>
          <w:tcPr>
            <w:tcW w:w="508"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2FF17B6">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满意度指标</w:t>
            </w:r>
          </w:p>
        </w:tc>
        <w:tc>
          <w:tcPr>
            <w:tcW w:w="39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099F73C">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服务对象满意度</w:t>
            </w:r>
          </w:p>
        </w:tc>
        <w:tc>
          <w:tcPr>
            <w:tcW w:w="71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6D969F7">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群众满意度</w:t>
            </w:r>
          </w:p>
        </w:tc>
        <w:tc>
          <w:tcPr>
            <w:tcW w:w="542"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2CF67F9">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E3FC4FB">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95</w:t>
            </w:r>
          </w:p>
        </w:tc>
        <w:tc>
          <w:tcPr>
            <w:tcW w:w="189"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BAA3880">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6E874">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95</w:t>
            </w:r>
          </w:p>
        </w:tc>
        <w:tc>
          <w:tcPr>
            <w:tcW w:w="520"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CE6AB">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8"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334F262">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D915822">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w:t>
            </w:r>
          </w:p>
        </w:tc>
        <w:tc>
          <w:tcPr>
            <w:tcW w:w="633" w:type="pct"/>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39E42">
            <w:pPr>
              <w:spacing w:line="560" w:lineRule="exact"/>
              <w:rPr>
                <w:rFonts w:hint="default" w:ascii="等线" w:hAnsi="等线" w:eastAsia="等线" w:cs="等线"/>
                <w:i w:val="0"/>
                <w:iCs w:val="0"/>
                <w:color w:val="auto"/>
                <w:sz w:val="22"/>
                <w:szCs w:val="22"/>
                <w:u w:val="none"/>
              </w:rPr>
            </w:pPr>
          </w:p>
        </w:tc>
      </w:tr>
      <w:tr w14:paraId="689E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556" w:type="pct"/>
          <w:trHeight w:val="623" w:hRule="atLeast"/>
        </w:trPr>
        <w:tc>
          <w:tcPr>
            <w:tcW w:w="3100" w:type="pct"/>
            <w:gridSpan w:val="10"/>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D0F9BC9">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合计</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8215C8A">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35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7E26BBE">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99.9</w:t>
            </w:r>
          </w:p>
        </w:tc>
        <w:tc>
          <w:tcPr>
            <w:tcW w:w="63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601FD">
            <w:pPr>
              <w:spacing w:line="560" w:lineRule="exact"/>
              <w:rPr>
                <w:rFonts w:hint="default" w:ascii="等线" w:hAnsi="等线" w:eastAsia="等线" w:cs="等线"/>
                <w:i w:val="0"/>
                <w:iCs w:val="0"/>
                <w:color w:val="auto"/>
                <w:sz w:val="22"/>
                <w:szCs w:val="22"/>
                <w:u w:val="none"/>
              </w:rPr>
            </w:pPr>
          </w:p>
        </w:tc>
      </w:tr>
    </w:tbl>
    <w:p w14:paraId="148D1E89">
      <w:pPr>
        <w:spacing w:line="560" w:lineRule="exact"/>
        <w:ind w:firstLine="640" w:firstLineChars="200"/>
        <w:rPr>
          <w:rFonts w:hint="eastAsia" w:ascii="仿宋_GB2312" w:eastAsia="仿宋_GB2312"/>
          <w:color w:val="auto"/>
          <w:sz w:val="32"/>
          <w:szCs w:val="32"/>
        </w:rPr>
      </w:pPr>
    </w:p>
    <w:p w14:paraId="473570BF">
      <w:pPr>
        <w:spacing w:line="560" w:lineRule="exact"/>
        <w:ind w:right="-1472" w:rightChars="-701"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办案业务</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99.90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353</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349.53</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99.02</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eastAsia="zh-CN"/>
        </w:rPr>
        <w:t>打黑除恶、刑事侦查案件完成率</w:t>
      </w:r>
      <w:r>
        <w:rPr>
          <w:rFonts w:hint="eastAsia" w:ascii="仿宋_GB2312" w:eastAsia="仿宋_GB2312"/>
          <w:color w:val="auto"/>
          <w:sz w:val="32"/>
          <w:szCs w:val="32"/>
          <w:lang w:val="en-US" w:eastAsia="zh-CN"/>
        </w:rPr>
        <w:t>95%，实际完成95%</w:t>
      </w:r>
      <w:r>
        <w:rPr>
          <w:rFonts w:hint="eastAsia" w:ascii="仿宋_GB2312" w:eastAsia="仿宋_GB2312"/>
          <w:color w:val="auto"/>
          <w:sz w:val="32"/>
          <w:szCs w:val="32"/>
        </w:rPr>
        <w:t>；二是</w:t>
      </w:r>
      <w:r>
        <w:rPr>
          <w:rFonts w:hint="eastAsia" w:ascii="仿宋_GB2312" w:eastAsia="仿宋_GB2312"/>
          <w:color w:val="auto"/>
          <w:sz w:val="32"/>
          <w:szCs w:val="32"/>
          <w:lang w:eastAsia="zh-CN"/>
        </w:rPr>
        <w:t>警犬、带犬人员合格达标率</w:t>
      </w:r>
      <w:r>
        <w:rPr>
          <w:rFonts w:hint="eastAsia" w:ascii="仿宋_GB2312" w:eastAsia="仿宋_GB2312"/>
          <w:color w:val="auto"/>
          <w:sz w:val="32"/>
          <w:szCs w:val="32"/>
          <w:lang w:val="en-US" w:eastAsia="zh-CN"/>
        </w:rPr>
        <w:t>95%，实际完成95%；三是应急处置到位及时率90%，实际完成90%；群众满意度95%，实际完成95%</w:t>
      </w:r>
      <w:r>
        <w:rPr>
          <w:rFonts w:hint="eastAsia" w:ascii="仿宋_GB2312" w:eastAsia="仿宋_GB2312"/>
          <w:color w:val="auto"/>
          <w:sz w:val="32"/>
          <w:szCs w:val="32"/>
        </w:rPr>
        <w:t>。</w:t>
      </w:r>
    </w:p>
    <w:p w14:paraId="06FA3E3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设备（装备）购置与运行维护</w:t>
      </w:r>
      <w:r>
        <w:rPr>
          <w:rFonts w:hint="eastAsia" w:ascii="仿宋_GB2312" w:eastAsia="仿宋_GB2312"/>
          <w:color w:val="auto"/>
          <w:sz w:val="32"/>
          <w:szCs w:val="32"/>
        </w:rPr>
        <w:t>项目绩效自评表：</w:t>
      </w:r>
    </w:p>
    <w:tbl>
      <w:tblPr>
        <w:tblStyle w:val="4"/>
        <w:tblW w:w="55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5"/>
        <w:gridCol w:w="898"/>
        <w:gridCol w:w="1621"/>
        <w:gridCol w:w="116"/>
        <w:gridCol w:w="762"/>
        <w:gridCol w:w="37"/>
        <w:gridCol w:w="363"/>
        <w:gridCol w:w="282"/>
        <w:gridCol w:w="391"/>
        <w:gridCol w:w="326"/>
        <w:gridCol w:w="333"/>
        <w:gridCol w:w="484"/>
        <w:gridCol w:w="37"/>
        <w:gridCol w:w="634"/>
        <w:gridCol w:w="285"/>
        <w:gridCol w:w="634"/>
        <w:gridCol w:w="210"/>
        <w:gridCol w:w="170"/>
        <w:gridCol w:w="37"/>
        <w:gridCol w:w="185"/>
        <w:gridCol w:w="37"/>
        <w:gridCol w:w="147"/>
        <w:gridCol w:w="38"/>
        <w:gridCol w:w="20"/>
        <w:gridCol w:w="17"/>
        <w:gridCol w:w="58"/>
        <w:gridCol w:w="46"/>
        <w:gridCol w:w="44"/>
        <w:gridCol w:w="178"/>
        <w:gridCol w:w="45"/>
        <w:gridCol w:w="177"/>
        <w:gridCol w:w="412"/>
        <w:gridCol w:w="75"/>
      </w:tblGrid>
      <w:tr w14:paraId="7EA8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29" w:type="pct"/>
          <w:trHeight w:val="510" w:hRule="atLeast"/>
        </w:trPr>
        <w:tc>
          <w:tcPr>
            <w:tcW w:w="4251" w:type="pct"/>
            <w:gridSpan w:val="1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DE655">
            <w:pPr>
              <w:keepNext w:val="0"/>
              <w:keepLines w:val="0"/>
              <w:widowControl/>
              <w:suppressLineNumbers w:val="0"/>
              <w:spacing w:line="560" w:lineRule="exact"/>
              <w:jc w:val="center"/>
              <w:textAlignment w:val="center"/>
              <w:rPr>
                <w:rFonts w:ascii="等线" w:hAnsi="等线" w:eastAsia="等线" w:cs="等线"/>
                <w:b/>
                <w:bCs/>
                <w:i w:val="0"/>
                <w:iCs w:val="0"/>
                <w:color w:val="auto"/>
                <w:sz w:val="40"/>
                <w:szCs w:val="40"/>
                <w:u w:val="none"/>
              </w:rPr>
            </w:pPr>
            <w:r>
              <w:rPr>
                <w:rFonts w:hint="default" w:ascii="等线" w:hAnsi="等线" w:eastAsia="等线" w:cs="等线"/>
                <w:b/>
                <w:bCs/>
                <w:i w:val="0"/>
                <w:iCs w:val="0"/>
                <w:color w:val="auto"/>
                <w:kern w:val="0"/>
                <w:sz w:val="40"/>
                <w:szCs w:val="40"/>
                <w:u w:val="none"/>
                <w:lang w:val="en-US" w:eastAsia="zh-CN" w:bidi="ar"/>
              </w:rPr>
              <w:t xml:space="preserve">项目支出绩效自评表 </w:t>
            </w:r>
          </w:p>
        </w:tc>
        <w:tc>
          <w:tcPr>
            <w:tcW w:w="109" w:type="pct"/>
            <w:gridSpan w:val="2"/>
            <w:tcBorders>
              <w:top w:val="nil"/>
              <w:left w:val="nil"/>
              <w:bottom w:val="nil"/>
              <w:right w:val="nil"/>
            </w:tcBorders>
            <w:shd w:val="clear" w:color="auto" w:fill="FFFFFF"/>
            <w:noWrap/>
            <w:vAlign w:val="center"/>
          </w:tcPr>
          <w:p w14:paraId="45826021">
            <w:pPr>
              <w:spacing w:line="560" w:lineRule="exact"/>
              <w:rPr>
                <w:rFonts w:hint="eastAsia" w:ascii="宋体" w:hAnsi="宋体" w:eastAsia="宋体" w:cs="宋体"/>
                <w:i w:val="0"/>
                <w:iCs w:val="0"/>
                <w:color w:val="auto"/>
                <w:sz w:val="24"/>
                <w:szCs w:val="24"/>
                <w:u w:val="none"/>
              </w:rPr>
            </w:pPr>
          </w:p>
        </w:tc>
        <w:tc>
          <w:tcPr>
            <w:tcW w:w="109" w:type="pct"/>
            <w:gridSpan w:val="3"/>
            <w:tcBorders>
              <w:top w:val="nil"/>
              <w:left w:val="nil"/>
              <w:bottom w:val="nil"/>
              <w:right w:val="nil"/>
            </w:tcBorders>
            <w:shd w:val="clear" w:color="auto" w:fill="FFFFFF"/>
            <w:noWrap/>
            <w:vAlign w:val="center"/>
          </w:tcPr>
          <w:p w14:paraId="57B4B2D7">
            <w:pPr>
              <w:spacing w:line="560" w:lineRule="exact"/>
              <w:rPr>
                <w:rFonts w:hint="eastAsia" w:ascii="宋体" w:hAnsi="宋体" w:eastAsia="宋体" w:cs="宋体"/>
                <w:i w:val="0"/>
                <w:iCs w:val="0"/>
                <w:color w:val="auto"/>
                <w:sz w:val="24"/>
                <w:szCs w:val="24"/>
                <w:u w:val="none"/>
              </w:rPr>
            </w:pPr>
          </w:p>
        </w:tc>
      </w:tr>
      <w:tr w14:paraId="49D9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11" w:type="pct"/>
          <w:trHeight w:val="432" w:hRule="atLeast"/>
        </w:trPr>
        <w:tc>
          <w:tcPr>
            <w:tcW w:w="5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88F2C">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项目名称:</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C910B8B">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46020021Y000000011049-设备（装备）购置与运行维护</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1CBBC">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填报人:</w:t>
            </w:r>
          </w:p>
        </w:tc>
        <w:tc>
          <w:tcPr>
            <w:tcW w:w="672" w:type="pct"/>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78F246A">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李华</w:t>
            </w:r>
          </w:p>
        </w:tc>
        <w:tc>
          <w:tcPr>
            <w:tcW w:w="421"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56245">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联系方式:</w:t>
            </w:r>
          </w:p>
        </w:tc>
        <w:tc>
          <w:tcPr>
            <w:tcW w:w="972"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0F4E3">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13016257666</w:t>
            </w:r>
          </w:p>
        </w:tc>
        <w:tc>
          <w:tcPr>
            <w:tcW w:w="109" w:type="pct"/>
            <w:gridSpan w:val="2"/>
            <w:tcBorders>
              <w:top w:val="nil"/>
              <w:left w:val="nil"/>
              <w:bottom w:val="nil"/>
              <w:right w:val="nil"/>
            </w:tcBorders>
            <w:shd w:val="clear" w:color="auto" w:fill="FFFFFF"/>
            <w:noWrap/>
            <w:vAlign w:val="center"/>
          </w:tcPr>
          <w:p w14:paraId="5AA5F525">
            <w:pPr>
              <w:spacing w:line="560" w:lineRule="exact"/>
              <w:rPr>
                <w:rFonts w:hint="eastAsia" w:ascii="宋体" w:hAnsi="宋体" w:eastAsia="宋体" w:cs="宋体"/>
                <w:i w:val="0"/>
                <w:iCs w:val="0"/>
                <w:color w:val="auto"/>
                <w:sz w:val="24"/>
                <w:szCs w:val="24"/>
                <w:u w:val="none"/>
              </w:rPr>
            </w:pPr>
          </w:p>
        </w:tc>
        <w:tc>
          <w:tcPr>
            <w:tcW w:w="109" w:type="pct"/>
            <w:gridSpan w:val="4"/>
            <w:tcBorders>
              <w:top w:val="nil"/>
              <w:left w:val="nil"/>
              <w:bottom w:val="nil"/>
              <w:right w:val="nil"/>
            </w:tcBorders>
            <w:shd w:val="clear" w:color="auto" w:fill="FFFFFF"/>
            <w:noWrap/>
            <w:vAlign w:val="center"/>
          </w:tcPr>
          <w:p w14:paraId="092A9760">
            <w:pPr>
              <w:spacing w:line="560" w:lineRule="exact"/>
              <w:rPr>
                <w:rFonts w:hint="eastAsia" w:ascii="宋体" w:hAnsi="宋体" w:eastAsia="宋体" w:cs="宋体"/>
                <w:i w:val="0"/>
                <w:iCs w:val="0"/>
                <w:color w:val="auto"/>
                <w:sz w:val="24"/>
                <w:szCs w:val="24"/>
                <w:u w:val="none"/>
              </w:rPr>
            </w:pPr>
          </w:p>
        </w:tc>
      </w:tr>
      <w:tr w14:paraId="1CD0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11" w:type="pct"/>
          <w:trHeight w:val="398" w:hRule="atLeast"/>
        </w:trPr>
        <w:tc>
          <w:tcPr>
            <w:tcW w:w="5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0BF00">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主管部门:</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F56CF52">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312-三亚市公安局</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C3987">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实施单位:</w:t>
            </w:r>
          </w:p>
        </w:tc>
        <w:tc>
          <w:tcPr>
            <w:tcW w:w="2067" w:type="pct"/>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09AE96D">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312012-三亚市公安局特警（防暴）支队</w:t>
            </w:r>
          </w:p>
        </w:tc>
        <w:tc>
          <w:tcPr>
            <w:tcW w:w="109" w:type="pct"/>
            <w:gridSpan w:val="2"/>
            <w:tcBorders>
              <w:top w:val="nil"/>
              <w:left w:val="nil"/>
              <w:bottom w:val="nil"/>
              <w:right w:val="nil"/>
            </w:tcBorders>
            <w:shd w:val="clear" w:color="auto" w:fill="FFFFFF"/>
            <w:noWrap/>
            <w:vAlign w:val="center"/>
          </w:tcPr>
          <w:p w14:paraId="078A71A8">
            <w:pPr>
              <w:spacing w:line="560" w:lineRule="exact"/>
              <w:rPr>
                <w:rFonts w:hint="eastAsia" w:ascii="宋体" w:hAnsi="宋体" w:eastAsia="宋体" w:cs="宋体"/>
                <w:i w:val="0"/>
                <w:iCs w:val="0"/>
                <w:color w:val="auto"/>
                <w:sz w:val="24"/>
                <w:szCs w:val="24"/>
                <w:u w:val="none"/>
              </w:rPr>
            </w:pPr>
          </w:p>
        </w:tc>
        <w:tc>
          <w:tcPr>
            <w:tcW w:w="109" w:type="pct"/>
            <w:gridSpan w:val="4"/>
            <w:tcBorders>
              <w:top w:val="nil"/>
              <w:left w:val="nil"/>
              <w:bottom w:val="nil"/>
              <w:right w:val="nil"/>
            </w:tcBorders>
            <w:shd w:val="clear" w:color="auto" w:fill="FFFFFF"/>
            <w:noWrap/>
            <w:vAlign w:val="center"/>
          </w:tcPr>
          <w:p w14:paraId="165BA051">
            <w:pPr>
              <w:spacing w:line="560" w:lineRule="exact"/>
              <w:rPr>
                <w:rFonts w:hint="eastAsia" w:ascii="宋体" w:hAnsi="宋体" w:eastAsia="宋体" w:cs="宋体"/>
                <w:i w:val="0"/>
                <w:iCs w:val="0"/>
                <w:color w:val="auto"/>
                <w:sz w:val="24"/>
                <w:szCs w:val="24"/>
                <w:u w:val="none"/>
              </w:rPr>
            </w:pPr>
          </w:p>
        </w:tc>
      </w:tr>
      <w:tr w14:paraId="22DE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27" w:type="pct"/>
          <w:trHeight w:val="398" w:hRule="atLeast"/>
        </w:trPr>
        <w:tc>
          <w:tcPr>
            <w:tcW w:w="506" w:type="pct"/>
            <w:tcBorders>
              <w:top w:val="nil"/>
              <w:left w:val="nil"/>
              <w:bottom w:val="nil"/>
              <w:right w:val="nil"/>
            </w:tcBorders>
            <w:shd w:val="clear" w:color="auto" w:fill="FFFFFF"/>
            <w:noWrap/>
            <w:vAlign w:val="center"/>
          </w:tcPr>
          <w:p w14:paraId="69F37AE5">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是否公开：</w:t>
            </w:r>
          </w:p>
        </w:tc>
        <w:tc>
          <w:tcPr>
            <w:tcW w:w="130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1E079">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否</w:t>
            </w:r>
          </w:p>
        </w:tc>
        <w:tc>
          <w:tcPr>
            <w:tcW w:w="573" w:type="pct"/>
            <w:gridSpan w:val="3"/>
            <w:tcBorders>
              <w:top w:val="single" w:color="000000" w:sz="4" w:space="0"/>
              <w:left w:val="nil"/>
              <w:bottom w:val="single" w:color="000000" w:sz="4" w:space="0"/>
              <w:right w:val="single" w:color="000000" w:sz="4" w:space="0"/>
            </w:tcBorders>
            <w:shd w:val="clear" w:color="auto" w:fill="FFFFFF"/>
            <w:noWrap/>
            <w:vAlign w:val="center"/>
          </w:tcPr>
          <w:p w14:paraId="56D9EE69">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网址：</w:t>
            </w:r>
          </w:p>
        </w:tc>
        <w:tc>
          <w:tcPr>
            <w:tcW w:w="2070" w:type="pct"/>
            <w:gridSpan w:val="1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226EF">
            <w:pPr>
              <w:spacing w:line="560" w:lineRule="exact"/>
              <w:rPr>
                <w:rFonts w:hint="default" w:ascii="等线" w:hAnsi="等线" w:eastAsia="等线" w:cs="等线"/>
                <w:i w:val="0"/>
                <w:iCs w:val="0"/>
                <w:color w:val="auto"/>
                <w:sz w:val="22"/>
                <w:szCs w:val="22"/>
                <w:u w:val="none"/>
              </w:rPr>
            </w:pPr>
          </w:p>
        </w:tc>
        <w:tc>
          <w:tcPr>
            <w:tcW w:w="110" w:type="pct"/>
            <w:gridSpan w:val="6"/>
            <w:tcBorders>
              <w:top w:val="nil"/>
              <w:left w:val="nil"/>
              <w:bottom w:val="nil"/>
              <w:right w:val="nil"/>
            </w:tcBorders>
            <w:shd w:val="clear" w:color="auto" w:fill="FFFFFF"/>
            <w:noWrap/>
            <w:vAlign w:val="center"/>
          </w:tcPr>
          <w:p w14:paraId="5E20C131">
            <w:pPr>
              <w:spacing w:line="560" w:lineRule="exact"/>
              <w:rPr>
                <w:rFonts w:hint="eastAsia" w:ascii="宋体" w:hAnsi="宋体" w:eastAsia="宋体" w:cs="宋体"/>
                <w:i w:val="0"/>
                <w:iCs w:val="0"/>
                <w:color w:val="auto"/>
                <w:sz w:val="24"/>
                <w:szCs w:val="24"/>
                <w:u w:val="none"/>
              </w:rPr>
            </w:pPr>
          </w:p>
        </w:tc>
        <w:tc>
          <w:tcPr>
            <w:tcW w:w="110" w:type="pct"/>
            <w:gridSpan w:val="2"/>
            <w:tcBorders>
              <w:top w:val="nil"/>
              <w:left w:val="nil"/>
              <w:bottom w:val="nil"/>
              <w:right w:val="nil"/>
            </w:tcBorders>
            <w:shd w:val="clear" w:color="auto" w:fill="FFFFFF"/>
            <w:noWrap/>
            <w:vAlign w:val="center"/>
          </w:tcPr>
          <w:p w14:paraId="10FBF1F9">
            <w:pPr>
              <w:spacing w:line="560" w:lineRule="exact"/>
              <w:rPr>
                <w:rFonts w:hint="eastAsia" w:ascii="宋体" w:hAnsi="宋体" w:eastAsia="宋体" w:cs="宋体"/>
                <w:i w:val="0"/>
                <w:iCs w:val="0"/>
                <w:color w:val="auto"/>
                <w:sz w:val="24"/>
                <w:szCs w:val="24"/>
                <w:u w:val="none"/>
              </w:rPr>
            </w:pPr>
          </w:p>
        </w:tc>
      </w:tr>
      <w:tr w14:paraId="4E68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0" w:type="pct"/>
          <w:trHeight w:val="3498"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A215F">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资金构成(元)</w:t>
            </w:r>
          </w:p>
        </w:tc>
        <w:tc>
          <w:tcPr>
            <w:tcW w:w="800" w:type="pct"/>
            <w:tcBorders>
              <w:top w:val="single" w:color="000000" w:sz="4" w:space="0"/>
              <w:left w:val="nil"/>
              <w:bottom w:val="single" w:color="000000" w:sz="4" w:space="0"/>
              <w:right w:val="nil"/>
            </w:tcBorders>
            <w:shd w:val="clear" w:color="auto" w:fill="FFFFFF"/>
            <w:noWrap w:val="0"/>
            <w:vAlign w:val="center"/>
          </w:tcPr>
          <w:p w14:paraId="7004FF19">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年初预算数</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BF6D9">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全年预算数</w:t>
            </w:r>
          </w:p>
        </w:tc>
        <w:tc>
          <w:tcPr>
            <w:tcW w:w="1094" w:type="pct"/>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CD238">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执行数</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91113">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分值</w:t>
            </w:r>
          </w:p>
        </w:tc>
        <w:tc>
          <w:tcPr>
            <w:tcW w:w="416" w:type="pct"/>
            <w:gridSpan w:val="2"/>
            <w:tcBorders>
              <w:top w:val="single" w:color="000000" w:sz="4" w:space="0"/>
              <w:left w:val="single" w:color="000000" w:sz="4" w:space="0"/>
              <w:bottom w:val="single" w:color="000000" w:sz="4" w:space="0"/>
              <w:right w:val="nil"/>
            </w:tcBorders>
            <w:shd w:val="clear" w:color="auto" w:fill="FFFFFF"/>
            <w:noWrap w:val="0"/>
            <w:vAlign w:val="center"/>
          </w:tcPr>
          <w:p w14:paraId="18C4294E">
            <w:pPr>
              <w:keepNext w:val="0"/>
              <w:keepLines w:val="0"/>
              <w:widowControl/>
              <w:suppressLineNumbers w:val="0"/>
              <w:spacing w:line="560" w:lineRule="exact"/>
              <w:jc w:val="left"/>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执行率（%）</w:t>
            </w:r>
          </w:p>
        </w:tc>
        <w:tc>
          <w:tcPr>
            <w:tcW w:w="372" w:type="pct"/>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4EC17">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得分</w:t>
            </w:r>
          </w:p>
        </w:tc>
        <w:tc>
          <w:tcPr>
            <w:tcW w:w="109" w:type="pct"/>
            <w:gridSpan w:val="2"/>
            <w:tcBorders>
              <w:top w:val="nil"/>
              <w:left w:val="nil"/>
              <w:bottom w:val="nil"/>
              <w:right w:val="nil"/>
            </w:tcBorders>
            <w:shd w:val="clear" w:color="auto" w:fill="FFFFFF"/>
            <w:noWrap/>
            <w:vAlign w:val="center"/>
          </w:tcPr>
          <w:p w14:paraId="43D678E7">
            <w:pPr>
              <w:spacing w:line="560" w:lineRule="exact"/>
              <w:rPr>
                <w:rFonts w:hint="eastAsia" w:ascii="宋体" w:hAnsi="宋体" w:eastAsia="宋体" w:cs="宋体"/>
                <w:i w:val="0"/>
                <w:iCs w:val="0"/>
                <w:color w:val="auto"/>
                <w:sz w:val="24"/>
                <w:szCs w:val="24"/>
                <w:u w:val="none"/>
              </w:rPr>
            </w:pPr>
          </w:p>
        </w:tc>
        <w:tc>
          <w:tcPr>
            <w:tcW w:w="109" w:type="pct"/>
            <w:gridSpan w:val="2"/>
            <w:tcBorders>
              <w:top w:val="nil"/>
              <w:left w:val="nil"/>
              <w:bottom w:val="nil"/>
              <w:right w:val="nil"/>
            </w:tcBorders>
            <w:shd w:val="clear" w:color="auto" w:fill="FFFFFF"/>
            <w:noWrap/>
            <w:vAlign w:val="center"/>
          </w:tcPr>
          <w:p w14:paraId="7A461B88">
            <w:pPr>
              <w:spacing w:line="560" w:lineRule="exact"/>
              <w:rPr>
                <w:rFonts w:hint="eastAsia" w:ascii="宋体" w:hAnsi="宋体" w:eastAsia="宋体" w:cs="宋体"/>
                <w:i w:val="0"/>
                <w:iCs w:val="0"/>
                <w:color w:val="auto"/>
                <w:sz w:val="24"/>
                <w:szCs w:val="24"/>
                <w:u w:val="none"/>
              </w:rPr>
            </w:pPr>
          </w:p>
        </w:tc>
      </w:tr>
      <w:tr w14:paraId="6CF0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0" w:type="pct"/>
          <w:trHeight w:val="2175"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E03B9">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资金总额：</w:t>
            </w:r>
          </w:p>
        </w:tc>
        <w:tc>
          <w:tcPr>
            <w:tcW w:w="80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03DF15C">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1,000,000.00</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006E599">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2,810,000.00</w:t>
            </w:r>
          </w:p>
        </w:tc>
        <w:tc>
          <w:tcPr>
            <w:tcW w:w="1094" w:type="pct"/>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70F3EF6">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2,761,705.00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28CA931">
            <w:pPr>
              <w:keepNext w:val="0"/>
              <w:keepLines w:val="0"/>
              <w:widowControl/>
              <w:suppressLineNumbers w:val="0"/>
              <w:spacing w:line="560" w:lineRule="exact"/>
              <w:jc w:val="center"/>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 xml:space="preserve">10.00 </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5C156E1">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98.28</w:t>
            </w:r>
          </w:p>
        </w:tc>
        <w:tc>
          <w:tcPr>
            <w:tcW w:w="372" w:type="pct"/>
            <w:gridSpan w:val="10"/>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5623C908">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9.83</w:t>
            </w:r>
          </w:p>
        </w:tc>
        <w:tc>
          <w:tcPr>
            <w:tcW w:w="109" w:type="pct"/>
            <w:gridSpan w:val="2"/>
            <w:tcBorders>
              <w:top w:val="nil"/>
              <w:left w:val="nil"/>
              <w:bottom w:val="nil"/>
              <w:right w:val="nil"/>
            </w:tcBorders>
            <w:shd w:val="clear" w:color="auto" w:fill="FFFFFF"/>
            <w:noWrap/>
            <w:vAlign w:val="center"/>
          </w:tcPr>
          <w:p w14:paraId="74737997">
            <w:pPr>
              <w:spacing w:line="560" w:lineRule="exact"/>
              <w:rPr>
                <w:rFonts w:hint="eastAsia" w:ascii="宋体" w:hAnsi="宋体" w:eastAsia="宋体" w:cs="宋体"/>
                <w:i w:val="0"/>
                <w:iCs w:val="0"/>
                <w:color w:val="auto"/>
                <w:sz w:val="24"/>
                <w:szCs w:val="24"/>
                <w:u w:val="none"/>
              </w:rPr>
            </w:pPr>
          </w:p>
        </w:tc>
        <w:tc>
          <w:tcPr>
            <w:tcW w:w="109" w:type="pct"/>
            <w:gridSpan w:val="2"/>
            <w:tcBorders>
              <w:top w:val="nil"/>
              <w:left w:val="nil"/>
              <w:bottom w:val="nil"/>
              <w:right w:val="nil"/>
            </w:tcBorders>
            <w:shd w:val="clear" w:color="auto" w:fill="FFFFFF"/>
            <w:noWrap/>
            <w:vAlign w:val="center"/>
          </w:tcPr>
          <w:p w14:paraId="14EA01FA">
            <w:pPr>
              <w:spacing w:line="560" w:lineRule="exact"/>
              <w:rPr>
                <w:rFonts w:hint="eastAsia" w:ascii="宋体" w:hAnsi="宋体" w:eastAsia="宋体" w:cs="宋体"/>
                <w:i w:val="0"/>
                <w:iCs w:val="0"/>
                <w:color w:val="auto"/>
                <w:sz w:val="24"/>
                <w:szCs w:val="24"/>
                <w:u w:val="none"/>
              </w:rPr>
            </w:pPr>
          </w:p>
        </w:tc>
      </w:tr>
      <w:tr w14:paraId="3A3C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0" w:type="pct"/>
          <w:trHeight w:val="285"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000A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其中：财政资金：</w:t>
            </w:r>
          </w:p>
        </w:tc>
        <w:tc>
          <w:tcPr>
            <w:tcW w:w="80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FEFE228">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1,000,000.00</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E2B33F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2,810,000.00</w:t>
            </w:r>
          </w:p>
        </w:tc>
        <w:tc>
          <w:tcPr>
            <w:tcW w:w="1094" w:type="pct"/>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1FF38E8">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2,761,705.00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359D89D">
            <w:pPr>
              <w:spacing w:line="560" w:lineRule="exact"/>
              <w:jc w:val="right"/>
              <w:rPr>
                <w:rFonts w:hint="default" w:ascii="等线" w:hAnsi="等线" w:eastAsia="等线" w:cs="等线"/>
                <w:i w:val="0"/>
                <w:iCs w:val="0"/>
                <w:color w:val="auto"/>
                <w:sz w:val="22"/>
                <w:szCs w:val="22"/>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9B11C3F">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98.28</w:t>
            </w:r>
          </w:p>
        </w:tc>
        <w:tc>
          <w:tcPr>
            <w:tcW w:w="372" w:type="pct"/>
            <w:gridSpan w:val="10"/>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9A52710">
            <w:pPr>
              <w:spacing w:line="560" w:lineRule="exact"/>
              <w:jc w:val="right"/>
              <w:rPr>
                <w:rFonts w:hint="default" w:ascii="等线" w:hAnsi="等线" w:eastAsia="等线" w:cs="等线"/>
                <w:i w:val="0"/>
                <w:iCs w:val="0"/>
                <w:color w:val="auto"/>
                <w:sz w:val="22"/>
                <w:szCs w:val="22"/>
                <w:u w:val="none"/>
              </w:rPr>
            </w:pPr>
          </w:p>
        </w:tc>
        <w:tc>
          <w:tcPr>
            <w:tcW w:w="109" w:type="pct"/>
            <w:gridSpan w:val="2"/>
            <w:tcBorders>
              <w:top w:val="nil"/>
              <w:left w:val="nil"/>
              <w:bottom w:val="nil"/>
              <w:right w:val="nil"/>
            </w:tcBorders>
            <w:shd w:val="clear" w:color="auto" w:fill="FFFFFF"/>
            <w:noWrap/>
            <w:vAlign w:val="center"/>
          </w:tcPr>
          <w:p w14:paraId="2DDC46C0">
            <w:pPr>
              <w:spacing w:line="560" w:lineRule="exact"/>
              <w:rPr>
                <w:rFonts w:hint="eastAsia" w:ascii="宋体" w:hAnsi="宋体" w:eastAsia="宋体" w:cs="宋体"/>
                <w:i w:val="0"/>
                <w:iCs w:val="0"/>
                <w:color w:val="auto"/>
                <w:sz w:val="24"/>
                <w:szCs w:val="24"/>
                <w:u w:val="none"/>
              </w:rPr>
            </w:pPr>
          </w:p>
        </w:tc>
        <w:tc>
          <w:tcPr>
            <w:tcW w:w="109" w:type="pct"/>
            <w:gridSpan w:val="2"/>
            <w:tcBorders>
              <w:top w:val="nil"/>
              <w:left w:val="nil"/>
              <w:bottom w:val="nil"/>
              <w:right w:val="nil"/>
            </w:tcBorders>
            <w:shd w:val="clear" w:color="auto" w:fill="FFFFFF"/>
            <w:noWrap/>
            <w:vAlign w:val="center"/>
          </w:tcPr>
          <w:p w14:paraId="278FF49C">
            <w:pPr>
              <w:spacing w:line="560" w:lineRule="exact"/>
              <w:rPr>
                <w:rFonts w:hint="eastAsia" w:ascii="宋体" w:hAnsi="宋体" w:eastAsia="宋体" w:cs="宋体"/>
                <w:i w:val="0"/>
                <w:iCs w:val="0"/>
                <w:color w:val="auto"/>
                <w:sz w:val="24"/>
                <w:szCs w:val="24"/>
                <w:u w:val="none"/>
              </w:rPr>
            </w:pPr>
          </w:p>
        </w:tc>
      </w:tr>
      <w:tr w14:paraId="5505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0" w:type="pct"/>
          <w:trHeight w:val="285"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2C7DA">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单位资金：</w:t>
            </w:r>
          </w:p>
        </w:tc>
        <w:tc>
          <w:tcPr>
            <w:tcW w:w="80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F503B94">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B29D205">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1094" w:type="pct"/>
            <w:gridSpan w:val="7"/>
            <w:tcBorders>
              <w:top w:val="nil"/>
              <w:left w:val="nil"/>
              <w:bottom w:val="nil"/>
              <w:right w:val="nil"/>
            </w:tcBorders>
            <w:shd w:val="clear" w:color="auto" w:fill="C0C0C0"/>
            <w:noWrap w:val="0"/>
            <w:vAlign w:val="center"/>
          </w:tcPr>
          <w:p w14:paraId="3E5CD87E">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A4F291A">
            <w:pPr>
              <w:spacing w:line="560" w:lineRule="exact"/>
              <w:jc w:val="right"/>
              <w:rPr>
                <w:rFonts w:hint="default" w:ascii="等线" w:hAnsi="等线" w:eastAsia="等线" w:cs="等线"/>
                <w:i w:val="0"/>
                <w:iCs w:val="0"/>
                <w:color w:val="auto"/>
                <w:sz w:val="22"/>
                <w:szCs w:val="22"/>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039571C">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w:t>
            </w:r>
          </w:p>
        </w:tc>
        <w:tc>
          <w:tcPr>
            <w:tcW w:w="372" w:type="pct"/>
            <w:gridSpan w:val="10"/>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DD13698">
            <w:pPr>
              <w:spacing w:line="560" w:lineRule="exact"/>
              <w:jc w:val="right"/>
              <w:rPr>
                <w:rFonts w:hint="default" w:ascii="等线" w:hAnsi="等线" w:eastAsia="等线" w:cs="等线"/>
                <w:i w:val="0"/>
                <w:iCs w:val="0"/>
                <w:color w:val="auto"/>
                <w:sz w:val="22"/>
                <w:szCs w:val="22"/>
                <w:u w:val="none"/>
              </w:rPr>
            </w:pPr>
          </w:p>
        </w:tc>
        <w:tc>
          <w:tcPr>
            <w:tcW w:w="109" w:type="pct"/>
            <w:gridSpan w:val="2"/>
            <w:tcBorders>
              <w:top w:val="nil"/>
              <w:left w:val="nil"/>
              <w:bottom w:val="nil"/>
              <w:right w:val="nil"/>
            </w:tcBorders>
            <w:shd w:val="clear" w:color="auto" w:fill="FFFFFF"/>
            <w:noWrap/>
            <w:vAlign w:val="center"/>
          </w:tcPr>
          <w:p w14:paraId="7D47A651">
            <w:pPr>
              <w:spacing w:line="560" w:lineRule="exact"/>
              <w:rPr>
                <w:rFonts w:hint="eastAsia" w:ascii="宋体" w:hAnsi="宋体" w:eastAsia="宋体" w:cs="宋体"/>
                <w:i w:val="0"/>
                <w:iCs w:val="0"/>
                <w:color w:val="auto"/>
                <w:sz w:val="24"/>
                <w:szCs w:val="24"/>
                <w:u w:val="none"/>
              </w:rPr>
            </w:pPr>
          </w:p>
        </w:tc>
        <w:tc>
          <w:tcPr>
            <w:tcW w:w="109" w:type="pct"/>
            <w:gridSpan w:val="2"/>
            <w:tcBorders>
              <w:top w:val="nil"/>
              <w:left w:val="nil"/>
              <w:bottom w:val="nil"/>
              <w:right w:val="nil"/>
            </w:tcBorders>
            <w:shd w:val="clear" w:color="auto" w:fill="FFFFFF"/>
            <w:noWrap/>
            <w:vAlign w:val="center"/>
          </w:tcPr>
          <w:p w14:paraId="10FDD655">
            <w:pPr>
              <w:spacing w:line="560" w:lineRule="exact"/>
              <w:rPr>
                <w:rFonts w:hint="eastAsia" w:ascii="宋体" w:hAnsi="宋体" w:eastAsia="宋体" w:cs="宋体"/>
                <w:i w:val="0"/>
                <w:iCs w:val="0"/>
                <w:color w:val="auto"/>
                <w:sz w:val="24"/>
                <w:szCs w:val="24"/>
                <w:u w:val="none"/>
              </w:rPr>
            </w:pPr>
          </w:p>
        </w:tc>
      </w:tr>
      <w:tr w14:paraId="134C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0" w:type="pct"/>
          <w:trHeight w:val="285" w:hRule="atLeast"/>
        </w:trPr>
        <w:tc>
          <w:tcPr>
            <w:tcW w:w="949"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250C3">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财政专户管理资金：</w:t>
            </w:r>
          </w:p>
        </w:tc>
        <w:tc>
          <w:tcPr>
            <w:tcW w:w="80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DCA393">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2878502">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1094" w:type="pct"/>
            <w:gridSpan w:val="7"/>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0F16DA1">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0.00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D6D6B90">
            <w:pPr>
              <w:spacing w:line="560" w:lineRule="exact"/>
              <w:jc w:val="right"/>
              <w:rPr>
                <w:rFonts w:hint="default" w:ascii="等线" w:hAnsi="等线" w:eastAsia="等线" w:cs="等线"/>
                <w:i w:val="0"/>
                <w:iCs w:val="0"/>
                <w:color w:val="auto"/>
                <w:sz w:val="22"/>
                <w:szCs w:val="22"/>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19B4019">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0</w:t>
            </w:r>
          </w:p>
        </w:tc>
        <w:tc>
          <w:tcPr>
            <w:tcW w:w="372" w:type="pct"/>
            <w:gridSpan w:val="10"/>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DADEE48">
            <w:pPr>
              <w:spacing w:line="560" w:lineRule="exact"/>
              <w:jc w:val="right"/>
              <w:rPr>
                <w:rFonts w:hint="default" w:ascii="等线" w:hAnsi="等线" w:eastAsia="等线" w:cs="等线"/>
                <w:i w:val="0"/>
                <w:iCs w:val="0"/>
                <w:color w:val="auto"/>
                <w:sz w:val="22"/>
                <w:szCs w:val="22"/>
                <w:u w:val="none"/>
              </w:rPr>
            </w:pPr>
          </w:p>
        </w:tc>
        <w:tc>
          <w:tcPr>
            <w:tcW w:w="109" w:type="pct"/>
            <w:gridSpan w:val="2"/>
            <w:tcBorders>
              <w:top w:val="nil"/>
              <w:left w:val="nil"/>
              <w:bottom w:val="nil"/>
              <w:right w:val="nil"/>
            </w:tcBorders>
            <w:shd w:val="clear" w:color="auto" w:fill="FFFFFF"/>
            <w:noWrap/>
            <w:vAlign w:val="center"/>
          </w:tcPr>
          <w:p w14:paraId="2ABB9DD1">
            <w:pPr>
              <w:spacing w:line="560" w:lineRule="exact"/>
              <w:rPr>
                <w:rFonts w:hint="eastAsia" w:ascii="宋体" w:hAnsi="宋体" w:eastAsia="宋体" w:cs="宋体"/>
                <w:i w:val="0"/>
                <w:iCs w:val="0"/>
                <w:color w:val="auto"/>
                <w:sz w:val="24"/>
                <w:szCs w:val="24"/>
                <w:u w:val="none"/>
              </w:rPr>
            </w:pPr>
          </w:p>
        </w:tc>
        <w:tc>
          <w:tcPr>
            <w:tcW w:w="109" w:type="pct"/>
            <w:gridSpan w:val="2"/>
            <w:tcBorders>
              <w:top w:val="nil"/>
              <w:left w:val="nil"/>
              <w:bottom w:val="nil"/>
              <w:right w:val="nil"/>
            </w:tcBorders>
            <w:shd w:val="clear" w:color="auto" w:fill="FFFFFF"/>
            <w:noWrap/>
            <w:vAlign w:val="center"/>
          </w:tcPr>
          <w:p w14:paraId="3BD41A2D">
            <w:pPr>
              <w:spacing w:line="560" w:lineRule="exact"/>
              <w:rPr>
                <w:rFonts w:hint="eastAsia" w:ascii="宋体" w:hAnsi="宋体" w:eastAsia="宋体" w:cs="宋体"/>
                <w:i w:val="0"/>
                <w:iCs w:val="0"/>
                <w:color w:val="auto"/>
                <w:sz w:val="24"/>
                <w:szCs w:val="24"/>
                <w:u w:val="none"/>
              </w:rPr>
            </w:pPr>
          </w:p>
        </w:tc>
      </w:tr>
      <w:tr w14:paraId="736D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29" w:type="pct"/>
          <w:trHeight w:val="285" w:hRule="atLeast"/>
        </w:trPr>
        <w:tc>
          <w:tcPr>
            <w:tcW w:w="2183" w:type="pct"/>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FF313">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年度目标</w:t>
            </w:r>
          </w:p>
        </w:tc>
        <w:tc>
          <w:tcPr>
            <w:tcW w:w="2067" w:type="pct"/>
            <w:gridSpan w:val="1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29223">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年度目标完成情况</w:t>
            </w:r>
          </w:p>
        </w:tc>
        <w:tc>
          <w:tcPr>
            <w:tcW w:w="109" w:type="pct"/>
            <w:gridSpan w:val="2"/>
            <w:tcBorders>
              <w:top w:val="nil"/>
              <w:left w:val="nil"/>
              <w:bottom w:val="nil"/>
              <w:right w:val="nil"/>
            </w:tcBorders>
            <w:shd w:val="clear" w:color="auto" w:fill="FFFFFF"/>
            <w:noWrap/>
            <w:vAlign w:val="center"/>
          </w:tcPr>
          <w:p w14:paraId="6C33EA76">
            <w:pPr>
              <w:spacing w:line="560" w:lineRule="exact"/>
              <w:rPr>
                <w:rFonts w:hint="eastAsia" w:ascii="宋体" w:hAnsi="宋体" w:eastAsia="宋体" w:cs="宋体"/>
                <w:i w:val="0"/>
                <w:iCs w:val="0"/>
                <w:color w:val="auto"/>
                <w:sz w:val="24"/>
                <w:szCs w:val="24"/>
                <w:u w:val="none"/>
              </w:rPr>
            </w:pPr>
          </w:p>
        </w:tc>
        <w:tc>
          <w:tcPr>
            <w:tcW w:w="109" w:type="pct"/>
            <w:gridSpan w:val="3"/>
            <w:tcBorders>
              <w:top w:val="nil"/>
              <w:left w:val="nil"/>
              <w:bottom w:val="nil"/>
              <w:right w:val="nil"/>
            </w:tcBorders>
            <w:shd w:val="clear" w:color="auto" w:fill="FFFFFF"/>
            <w:noWrap/>
            <w:vAlign w:val="center"/>
          </w:tcPr>
          <w:p w14:paraId="116657A6">
            <w:pPr>
              <w:spacing w:line="560" w:lineRule="exact"/>
              <w:rPr>
                <w:rFonts w:hint="eastAsia" w:ascii="宋体" w:hAnsi="宋体" w:eastAsia="宋体" w:cs="宋体"/>
                <w:i w:val="0"/>
                <w:iCs w:val="0"/>
                <w:color w:val="auto"/>
                <w:sz w:val="24"/>
                <w:szCs w:val="24"/>
                <w:u w:val="none"/>
              </w:rPr>
            </w:pPr>
          </w:p>
        </w:tc>
      </w:tr>
      <w:tr w14:paraId="1F3E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529" w:type="pct"/>
          <w:trHeight w:val="1778" w:hRule="atLeast"/>
        </w:trPr>
        <w:tc>
          <w:tcPr>
            <w:tcW w:w="2183" w:type="pct"/>
            <w:gridSpan w:val="5"/>
            <w:tcBorders>
              <w:top w:val="single" w:color="000000" w:sz="4" w:space="0"/>
              <w:left w:val="single" w:color="000000" w:sz="4" w:space="0"/>
              <w:bottom w:val="single" w:color="000000" w:sz="4" w:space="0"/>
              <w:right w:val="single" w:color="000000" w:sz="4" w:space="0"/>
            </w:tcBorders>
            <w:shd w:val="clear" w:color="auto" w:fill="C0C0C0"/>
            <w:noWrap w:val="0"/>
            <w:vAlign w:val="top"/>
          </w:tcPr>
          <w:p w14:paraId="2DFDDF6C">
            <w:pPr>
              <w:keepNext w:val="0"/>
              <w:keepLines w:val="0"/>
              <w:widowControl/>
              <w:suppressLineNumbers w:val="0"/>
              <w:spacing w:line="560" w:lineRule="exact"/>
              <w:jc w:val="left"/>
              <w:textAlignment w:val="top"/>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提高特警队伍履职能力，提升人民群众安全感。</w:t>
            </w:r>
          </w:p>
        </w:tc>
        <w:tc>
          <w:tcPr>
            <w:tcW w:w="2067" w:type="pct"/>
            <w:gridSpan w:val="1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CCA93F4">
            <w:pPr>
              <w:keepNext w:val="0"/>
              <w:keepLines w:val="0"/>
              <w:widowControl/>
              <w:suppressLineNumbers w:val="0"/>
              <w:spacing w:line="560" w:lineRule="exact"/>
              <w:jc w:val="left"/>
              <w:textAlignment w:val="top"/>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提高特警队伍履职能力，提升人民群众安全感。</w:t>
            </w:r>
          </w:p>
        </w:tc>
        <w:tc>
          <w:tcPr>
            <w:tcW w:w="109" w:type="pct"/>
            <w:gridSpan w:val="2"/>
            <w:tcBorders>
              <w:top w:val="nil"/>
              <w:left w:val="nil"/>
              <w:bottom w:val="nil"/>
              <w:right w:val="nil"/>
            </w:tcBorders>
            <w:shd w:val="clear" w:color="auto" w:fill="FFFFFF"/>
            <w:noWrap/>
            <w:vAlign w:val="center"/>
          </w:tcPr>
          <w:p w14:paraId="42BB8C69">
            <w:pPr>
              <w:spacing w:line="560" w:lineRule="exact"/>
              <w:rPr>
                <w:rFonts w:hint="eastAsia" w:ascii="宋体" w:hAnsi="宋体" w:eastAsia="宋体" w:cs="宋体"/>
                <w:i w:val="0"/>
                <w:iCs w:val="0"/>
                <w:color w:val="auto"/>
                <w:sz w:val="24"/>
                <w:szCs w:val="24"/>
                <w:u w:val="none"/>
              </w:rPr>
            </w:pPr>
          </w:p>
        </w:tc>
        <w:tc>
          <w:tcPr>
            <w:tcW w:w="109" w:type="pct"/>
            <w:gridSpan w:val="3"/>
            <w:tcBorders>
              <w:top w:val="nil"/>
              <w:left w:val="nil"/>
              <w:bottom w:val="nil"/>
              <w:right w:val="nil"/>
            </w:tcBorders>
            <w:shd w:val="clear" w:color="auto" w:fill="FFFFFF"/>
            <w:noWrap/>
            <w:vAlign w:val="center"/>
          </w:tcPr>
          <w:p w14:paraId="63BDF75D">
            <w:pPr>
              <w:spacing w:line="560" w:lineRule="exact"/>
              <w:rPr>
                <w:rFonts w:hint="eastAsia" w:ascii="宋体" w:hAnsi="宋体" w:eastAsia="宋体" w:cs="宋体"/>
                <w:i w:val="0"/>
                <w:iCs w:val="0"/>
                <w:color w:val="auto"/>
                <w:sz w:val="24"/>
                <w:szCs w:val="24"/>
                <w:u w:val="none"/>
              </w:rPr>
            </w:pPr>
          </w:p>
        </w:tc>
      </w:tr>
      <w:tr w14:paraId="4FD3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pct"/>
          <w:trHeight w:val="4825" w:hRule="atLeast"/>
        </w:trPr>
        <w:tc>
          <w:tcPr>
            <w:tcW w:w="50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45CDB">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一级指标</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132BC">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F203B">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三级指标</w:t>
            </w:r>
          </w:p>
        </w:tc>
        <w:tc>
          <w:tcPr>
            <w:tcW w:w="451" w:type="pct"/>
            <w:gridSpan w:val="3"/>
            <w:tcBorders>
              <w:top w:val="single" w:color="000000" w:sz="4" w:space="0"/>
              <w:left w:val="nil"/>
              <w:bottom w:val="single" w:color="000000" w:sz="4" w:space="0"/>
              <w:right w:val="single" w:color="000000" w:sz="4" w:space="0"/>
            </w:tcBorders>
            <w:shd w:val="clear" w:color="auto" w:fill="FFFFFF"/>
            <w:noWrap w:val="0"/>
            <w:vAlign w:val="center"/>
          </w:tcPr>
          <w:p w14:paraId="35754793">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指标性质</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BC86A">
            <w:pPr>
              <w:keepNext w:val="0"/>
              <w:keepLines w:val="0"/>
              <w:widowControl/>
              <w:suppressLineNumbers w:val="0"/>
              <w:tabs>
                <w:tab w:val="left" w:pos="420"/>
              </w:tabs>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年度指标值</w:t>
            </w:r>
          </w:p>
        </w:tc>
        <w:tc>
          <w:tcPr>
            <w:tcW w:w="19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2AFAD">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度量单位</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7FB92">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实际完成值</w:t>
            </w:r>
          </w:p>
        </w:tc>
        <w:tc>
          <w:tcPr>
            <w:tcW w:w="57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80FD1">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完成率</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7D800">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分值</w:t>
            </w:r>
          </w:p>
        </w:tc>
        <w:tc>
          <w:tcPr>
            <w:tcW w:w="416" w:type="pct"/>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8CC29">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得分</w:t>
            </w:r>
          </w:p>
        </w:tc>
        <w:tc>
          <w:tcPr>
            <w:tcW w:w="482" w:type="pct"/>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260D9">
            <w:pPr>
              <w:keepNext w:val="0"/>
              <w:keepLines w:val="0"/>
              <w:widowControl/>
              <w:suppressLineNumbers w:val="0"/>
              <w:spacing w:line="560" w:lineRule="exact"/>
              <w:jc w:val="center"/>
              <w:textAlignment w:val="center"/>
              <w:rPr>
                <w:rFonts w:hint="default" w:ascii="等线" w:hAnsi="等线" w:eastAsia="等线" w:cs="等线"/>
                <w:b/>
                <w:bCs/>
                <w:i w:val="0"/>
                <w:iCs w:val="0"/>
                <w:color w:val="auto"/>
                <w:sz w:val="24"/>
                <w:szCs w:val="24"/>
                <w:u w:val="none"/>
              </w:rPr>
            </w:pPr>
            <w:r>
              <w:rPr>
                <w:rFonts w:hint="default" w:ascii="等线" w:hAnsi="等线" w:eastAsia="等线" w:cs="等线"/>
                <w:b/>
                <w:bCs/>
                <w:i w:val="0"/>
                <w:iCs w:val="0"/>
                <w:color w:val="auto"/>
                <w:kern w:val="0"/>
                <w:sz w:val="24"/>
                <w:szCs w:val="24"/>
                <w:u w:val="none"/>
                <w:lang w:val="en-US" w:eastAsia="zh-CN" w:bidi="ar"/>
              </w:rPr>
              <w:t>未完成原因分析</w:t>
            </w:r>
          </w:p>
        </w:tc>
      </w:tr>
      <w:tr w14:paraId="6DBB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pct"/>
          <w:trHeight w:val="623" w:hRule="atLeast"/>
        </w:trPr>
        <w:tc>
          <w:tcPr>
            <w:tcW w:w="50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6CB926D">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产出指标</w:t>
            </w:r>
          </w:p>
        </w:tc>
        <w:tc>
          <w:tcPr>
            <w:tcW w:w="443"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2D01CD0">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9972788">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设备故障率</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1FEAF73">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E734ED4">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5</w:t>
            </w:r>
          </w:p>
        </w:tc>
        <w:tc>
          <w:tcPr>
            <w:tcW w:w="193"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DCD43D1">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18F89">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5</w:t>
            </w:r>
          </w:p>
        </w:tc>
        <w:tc>
          <w:tcPr>
            <w:tcW w:w="57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1B123">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C4DE63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20.00</w:t>
            </w:r>
          </w:p>
        </w:tc>
        <w:tc>
          <w:tcPr>
            <w:tcW w:w="416" w:type="pct"/>
            <w:gridSpan w:val="8"/>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45F778C">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20</w:t>
            </w:r>
          </w:p>
        </w:tc>
        <w:tc>
          <w:tcPr>
            <w:tcW w:w="482" w:type="pct"/>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81876">
            <w:pPr>
              <w:spacing w:line="560" w:lineRule="exact"/>
              <w:rPr>
                <w:rFonts w:hint="default" w:ascii="等线" w:hAnsi="等线" w:eastAsia="等线" w:cs="等线"/>
                <w:i w:val="0"/>
                <w:iCs w:val="0"/>
                <w:color w:val="auto"/>
                <w:sz w:val="22"/>
                <w:szCs w:val="22"/>
                <w:u w:val="none"/>
              </w:rPr>
            </w:pPr>
          </w:p>
        </w:tc>
      </w:tr>
      <w:tr w14:paraId="577F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pct"/>
          <w:trHeight w:val="623" w:hRule="atLeast"/>
        </w:trPr>
        <w:tc>
          <w:tcPr>
            <w:tcW w:w="50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5F1DAB7">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产出指标</w:t>
            </w:r>
          </w:p>
        </w:tc>
        <w:tc>
          <w:tcPr>
            <w:tcW w:w="443"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EE195F">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E3A4613">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设备质量合格率</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5F3C281">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2636CB3">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E7EB7FD">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EF73E">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w:t>
            </w:r>
          </w:p>
        </w:tc>
        <w:tc>
          <w:tcPr>
            <w:tcW w:w="57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7963A">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96BE1E9">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30.00</w:t>
            </w:r>
          </w:p>
        </w:tc>
        <w:tc>
          <w:tcPr>
            <w:tcW w:w="416" w:type="pct"/>
            <w:gridSpan w:val="8"/>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608820E">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30</w:t>
            </w:r>
          </w:p>
        </w:tc>
        <w:tc>
          <w:tcPr>
            <w:tcW w:w="482" w:type="pct"/>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0677C">
            <w:pPr>
              <w:spacing w:line="560" w:lineRule="exact"/>
              <w:rPr>
                <w:rFonts w:hint="default" w:ascii="等线" w:hAnsi="等线" w:eastAsia="等线" w:cs="等线"/>
                <w:i w:val="0"/>
                <w:iCs w:val="0"/>
                <w:color w:val="auto"/>
                <w:sz w:val="22"/>
                <w:szCs w:val="22"/>
                <w:u w:val="none"/>
              </w:rPr>
            </w:pPr>
          </w:p>
        </w:tc>
      </w:tr>
      <w:tr w14:paraId="094B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pct"/>
          <w:trHeight w:val="623" w:hRule="atLeast"/>
        </w:trPr>
        <w:tc>
          <w:tcPr>
            <w:tcW w:w="50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FE4474A">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效益指标</w:t>
            </w:r>
          </w:p>
        </w:tc>
        <w:tc>
          <w:tcPr>
            <w:tcW w:w="443"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A69C21F">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6158B49">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设备利用率</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6478DA6">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82E2CA5">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2B560BF">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97516">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w:t>
            </w:r>
          </w:p>
        </w:tc>
        <w:tc>
          <w:tcPr>
            <w:tcW w:w="57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84E60">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A994BA4">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30.00</w:t>
            </w:r>
          </w:p>
        </w:tc>
        <w:tc>
          <w:tcPr>
            <w:tcW w:w="416" w:type="pct"/>
            <w:gridSpan w:val="8"/>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ADC4FB1">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30</w:t>
            </w:r>
          </w:p>
        </w:tc>
        <w:tc>
          <w:tcPr>
            <w:tcW w:w="482" w:type="pct"/>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F78E8">
            <w:pPr>
              <w:spacing w:line="560" w:lineRule="exact"/>
              <w:rPr>
                <w:rFonts w:hint="default" w:ascii="等线" w:hAnsi="等线" w:eastAsia="等线" w:cs="等线"/>
                <w:i w:val="0"/>
                <w:iCs w:val="0"/>
                <w:color w:val="auto"/>
                <w:sz w:val="22"/>
                <w:szCs w:val="22"/>
                <w:u w:val="none"/>
              </w:rPr>
            </w:pPr>
          </w:p>
        </w:tc>
      </w:tr>
      <w:tr w14:paraId="362B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pct"/>
          <w:trHeight w:val="623" w:hRule="atLeast"/>
        </w:trPr>
        <w:tc>
          <w:tcPr>
            <w:tcW w:w="506"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96E5D4E">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满意度指标</w:t>
            </w:r>
          </w:p>
        </w:tc>
        <w:tc>
          <w:tcPr>
            <w:tcW w:w="443"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119FE28">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服务对象满意度</w:t>
            </w:r>
          </w:p>
        </w:tc>
        <w:tc>
          <w:tcPr>
            <w:tcW w:w="800"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D183CF1">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使用人员满意度</w:t>
            </w:r>
          </w:p>
        </w:tc>
        <w:tc>
          <w:tcPr>
            <w:tcW w:w="451" w:type="pct"/>
            <w:gridSpan w:val="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9490264">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318"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EF33478">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85</w:t>
            </w:r>
          </w:p>
        </w:tc>
        <w:tc>
          <w:tcPr>
            <w:tcW w:w="193" w:type="pct"/>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1A64A9D">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6237D">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85</w:t>
            </w:r>
          </w:p>
        </w:tc>
        <w:tc>
          <w:tcPr>
            <w:tcW w:w="57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DC712">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B5C7AD6">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w:t>
            </w:r>
          </w:p>
        </w:tc>
        <w:tc>
          <w:tcPr>
            <w:tcW w:w="416" w:type="pct"/>
            <w:gridSpan w:val="8"/>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22209DA">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w:t>
            </w:r>
          </w:p>
        </w:tc>
        <w:tc>
          <w:tcPr>
            <w:tcW w:w="482" w:type="pct"/>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3A416">
            <w:pPr>
              <w:spacing w:line="560" w:lineRule="exact"/>
              <w:rPr>
                <w:rFonts w:hint="default" w:ascii="等线" w:hAnsi="等线" w:eastAsia="等线" w:cs="等线"/>
                <w:i w:val="0"/>
                <w:iCs w:val="0"/>
                <w:color w:val="auto"/>
                <w:sz w:val="22"/>
                <w:szCs w:val="22"/>
                <w:u w:val="none"/>
              </w:rPr>
            </w:pPr>
          </w:p>
        </w:tc>
      </w:tr>
      <w:tr w14:paraId="7F78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3278" w:type="pct"/>
            <w:gridSpan w:val="12"/>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CC3C4EE">
            <w:pPr>
              <w:keepNext w:val="0"/>
              <w:keepLines w:val="0"/>
              <w:widowControl/>
              <w:suppressLineNumbers w:val="0"/>
              <w:spacing w:line="560" w:lineRule="exact"/>
              <w:jc w:val="lef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合计</w:t>
            </w:r>
          </w:p>
        </w:tc>
        <w:tc>
          <w:tcPr>
            <w:tcW w:w="785" w:type="pct"/>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9649238">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100.00</w:t>
            </w:r>
          </w:p>
        </w:tc>
        <w:tc>
          <w:tcPr>
            <w:tcW w:w="453" w:type="pct"/>
            <w:gridSpan w:val="10"/>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2002A8A">
            <w:pPr>
              <w:keepNext w:val="0"/>
              <w:keepLines w:val="0"/>
              <w:widowControl/>
              <w:suppressLineNumbers w:val="0"/>
              <w:spacing w:line="560" w:lineRule="exact"/>
              <w:jc w:val="right"/>
              <w:textAlignment w:val="center"/>
              <w:rPr>
                <w:rFonts w:hint="default" w:ascii="等线" w:hAnsi="等线" w:eastAsia="等线" w:cs="等线"/>
                <w:i w:val="0"/>
                <w:iCs w:val="0"/>
                <w:color w:val="auto"/>
                <w:sz w:val="22"/>
                <w:szCs w:val="22"/>
                <w:u w:val="none"/>
              </w:rPr>
            </w:pPr>
            <w:r>
              <w:rPr>
                <w:rFonts w:hint="default" w:ascii="等线" w:hAnsi="等线" w:eastAsia="等线" w:cs="等线"/>
                <w:i w:val="0"/>
                <w:iCs w:val="0"/>
                <w:color w:val="auto"/>
                <w:kern w:val="0"/>
                <w:sz w:val="22"/>
                <w:szCs w:val="22"/>
                <w:u w:val="none"/>
                <w:lang w:val="en-US" w:eastAsia="zh-CN" w:bidi="ar"/>
              </w:rPr>
              <w:t>99.83</w:t>
            </w:r>
          </w:p>
        </w:tc>
        <w:tc>
          <w:tcPr>
            <w:tcW w:w="482"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B2AF6">
            <w:pPr>
              <w:spacing w:line="560" w:lineRule="exact"/>
              <w:rPr>
                <w:rFonts w:hint="default" w:ascii="等线" w:hAnsi="等线" w:eastAsia="等线" w:cs="等线"/>
                <w:i w:val="0"/>
                <w:iCs w:val="0"/>
                <w:color w:val="auto"/>
                <w:sz w:val="22"/>
                <w:szCs w:val="22"/>
                <w:u w:val="none"/>
              </w:rPr>
            </w:pPr>
          </w:p>
        </w:tc>
      </w:tr>
    </w:tbl>
    <w:p w14:paraId="3DC27F9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设备（装备）购置与运行维护</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99.83</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281</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276.17</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98.28</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eastAsia="zh-CN"/>
        </w:rPr>
        <w:t>设备故障率</w:t>
      </w:r>
      <w:r>
        <w:rPr>
          <w:rFonts w:hint="default" w:ascii="Arial" w:hAnsi="Arial" w:eastAsia="仿宋_GB2312" w:cs="Arial"/>
          <w:color w:val="auto"/>
          <w:sz w:val="32"/>
          <w:szCs w:val="32"/>
          <w:lang w:eastAsia="zh-CN"/>
        </w:rPr>
        <w:t>≤</w:t>
      </w:r>
      <w:r>
        <w:rPr>
          <w:rFonts w:hint="eastAsia" w:ascii="仿宋_GB2312" w:eastAsia="仿宋_GB2312"/>
          <w:color w:val="auto"/>
          <w:sz w:val="32"/>
          <w:szCs w:val="32"/>
          <w:lang w:val="en-US" w:eastAsia="zh-CN"/>
        </w:rPr>
        <w:t>5%，实际故障率5%</w:t>
      </w:r>
      <w:r>
        <w:rPr>
          <w:rFonts w:hint="eastAsia" w:ascii="仿宋_GB2312" w:eastAsia="仿宋_GB2312"/>
          <w:color w:val="auto"/>
          <w:sz w:val="32"/>
          <w:szCs w:val="32"/>
        </w:rPr>
        <w:t>；二是</w:t>
      </w:r>
      <w:r>
        <w:rPr>
          <w:rFonts w:hint="eastAsia" w:ascii="仿宋_GB2312" w:eastAsia="仿宋_GB2312"/>
          <w:color w:val="auto"/>
          <w:sz w:val="32"/>
          <w:szCs w:val="32"/>
          <w:lang w:eastAsia="zh-CN"/>
        </w:rPr>
        <w:t>设备质量合格率</w:t>
      </w:r>
      <w:r>
        <w:rPr>
          <w:rFonts w:hint="eastAsia" w:ascii="仿宋_GB2312" w:eastAsia="仿宋_GB2312"/>
          <w:color w:val="auto"/>
          <w:sz w:val="32"/>
          <w:szCs w:val="32"/>
          <w:lang w:val="en-US" w:eastAsia="zh-CN"/>
        </w:rPr>
        <w:t>100%，实际完成100%；三是设备利用率100%，实际完成100%；使用人员满意度85%，实际完成85%</w:t>
      </w:r>
      <w:r>
        <w:rPr>
          <w:rFonts w:hint="eastAsia" w:ascii="仿宋_GB2312" w:eastAsia="仿宋_GB2312"/>
          <w:color w:val="auto"/>
          <w:sz w:val="32"/>
          <w:szCs w:val="32"/>
        </w:rPr>
        <w:t>。</w:t>
      </w:r>
    </w:p>
    <w:p w14:paraId="4B53126A">
      <w:pPr>
        <w:numPr>
          <w:ilvl w:val="0"/>
          <w:numId w:val="0"/>
        </w:numPr>
        <w:spacing w:line="560"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lang w:eastAsia="zh-CN"/>
        </w:rPr>
        <w:t>（三）</w:t>
      </w:r>
      <w:r>
        <w:rPr>
          <w:rFonts w:hint="eastAsia" w:ascii="楷体" w:hAnsi="楷体" w:eastAsia="楷体" w:cs="楷体"/>
          <w:bCs/>
          <w:color w:val="auto"/>
          <w:sz w:val="32"/>
          <w:szCs w:val="32"/>
        </w:rPr>
        <w:t>部门评价结果</w:t>
      </w:r>
    </w:p>
    <w:p w14:paraId="228CD085">
      <w:pPr>
        <w:spacing w:line="560" w:lineRule="exact"/>
        <w:ind w:firstLine="640" w:firstLineChars="200"/>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无</w:t>
      </w:r>
    </w:p>
    <w:p w14:paraId="2E6B79B0">
      <w:pPr>
        <w:spacing w:line="560"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w:t>
      </w:r>
    </w:p>
    <w:p w14:paraId="28F0746C">
      <w:pPr>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无</w:t>
      </w:r>
    </w:p>
    <w:p w14:paraId="0D75EE92">
      <w:pPr>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14:paraId="4ADE90EC">
      <w:pPr>
        <w:spacing w:line="560" w:lineRule="exact"/>
        <w:ind w:firstLine="640" w:firstLineChars="200"/>
        <w:rPr>
          <w:rFonts w:hint="eastAsia" w:ascii="楷体" w:hAnsi="楷体" w:eastAsia="楷体" w:cs="楷体"/>
          <w:bCs/>
          <w:color w:val="auto"/>
          <w:sz w:val="32"/>
          <w:szCs w:val="32"/>
        </w:rPr>
      </w:pPr>
      <w:bookmarkStart w:id="95" w:name="_Toc23598_WPSOffice_Level2"/>
      <w:bookmarkStart w:id="96" w:name="_Toc32639_WPSOffice_Level2"/>
      <w:bookmarkStart w:id="97" w:name="_Toc5978_WPSOffice_Level2"/>
      <w:bookmarkStart w:id="98" w:name="_Toc18325_WPSOffice_Level2"/>
      <w:bookmarkStart w:id="99" w:name="_Toc15565_WPSOffice_Level2"/>
      <w:bookmarkStart w:id="100" w:name="_Toc15262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14:paraId="42EBCE29">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三亚市公安局特警（防暴）支队</w:t>
      </w:r>
      <w:r>
        <w:rPr>
          <w:rFonts w:hint="eastAsia" w:ascii="仿宋_GB2312" w:hAnsi="ˎ̥" w:eastAsia="仿宋_GB2312"/>
          <w:color w:val="auto"/>
          <w:sz w:val="32"/>
          <w:szCs w:val="32"/>
        </w:rPr>
        <w:t>机关运行经费176</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97万元（为部门决算中行政单位和参公事业单位财政拨款基本支出中公用经费支出之和，事业单位没有机关运行经费支出），比年初预算减少</w:t>
      </w:r>
      <w:r>
        <w:rPr>
          <w:rFonts w:hint="eastAsia" w:ascii="仿宋_GB2312" w:hAnsi="ˎ̥" w:eastAsia="仿宋_GB2312"/>
          <w:color w:val="auto"/>
          <w:sz w:val="32"/>
          <w:szCs w:val="32"/>
          <w:lang w:val="en-US" w:eastAsia="zh-CN"/>
        </w:rPr>
        <w:t>16.14</w:t>
      </w:r>
      <w:r>
        <w:rPr>
          <w:rFonts w:hint="eastAsia" w:ascii="仿宋_GB2312" w:hAnsi="ˎ̥" w:eastAsia="仿宋_GB2312"/>
          <w:color w:val="auto"/>
          <w:sz w:val="32"/>
          <w:szCs w:val="32"/>
        </w:rPr>
        <w:t>万元，降低</w:t>
      </w:r>
      <w:r>
        <w:rPr>
          <w:rFonts w:hint="eastAsia" w:ascii="仿宋_GB2312" w:hAnsi="ˎ̥" w:eastAsia="仿宋_GB2312"/>
          <w:color w:val="auto"/>
          <w:sz w:val="32"/>
          <w:szCs w:val="32"/>
          <w:lang w:val="en-US" w:eastAsia="zh-CN"/>
        </w:rPr>
        <w:t>8.36</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落实过紧日子要求压减支出等</w:t>
      </w:r>
      <w:r>
        <w:rPr>
          <w:rFonts w:hint="eastAsia" w:ascii="仿宋_GB2312" w:hAnsi="ˎ̥" w:eastAsia="仿宋_GB2312"/>
          <w:color w:val="auto"/>
          <w:sz w:val="32"/>
          <w:szCs w:val="32"/>
        </w:rPr>
        <w:t>。</w:t>
      </w:r>
    </w:p>
    <w:p w14:paraId="11F22E55">
      <w:pPr>
        <w:spacing w:line="560" w:lineRule="exact"/>
        <w:ind w:firstLine="640" w:firstLineChars="200"/>
        <w:rPr>
          <w:rFonts w:hint="eastAsia" w:ascii="楷体" w:hAnsi="楷体" w:eastAsia="楷体" w:cs="楷体"/>
          <w:bCs/>
          <w:color w:val="auto"/>
          <w:sz w:val="32"/>
          <w:szCs w:val="32"/>
        </w:rPr>
      </w:pPr>
      <w:bookmarkStart w:id="101" w:name="_Toc25333_WPSOffice_Level2"/>
      <w:bookmarkStart w:id="102" w:name="_Toc30383_WPSOffice_Level2"/>
      <w:bookmarkStart w:id="103" w:name="_Toc13084_WPSOffice_Level2"/>
      <w:bookmarkStart w:id="104" w:name="_Toc3131_WPSOffice_Level2"/>
      <w:bookmarkStart w:id="105" w:name="_Toc32689_WPSOffice_Level2"/>
      <w:bookmarkStart w:id="106" w:name="_Toc23966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14:paraId="6659D078">
      <w:pPr>
        <w:spacing w:line="560" w:lineRule="exact"/>
        <w:ind w:firstLine="640" w:firstLineChars="200"/>
        <w:jc w:val="left"/>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ascii="仿宋_GB2312" w:hAnsi="ˎ̥" w:eastAsia="仿宋_GB2312"/>
          <w:color w:val="auto"/>
          <w:sz w:val="32"/>
          <w:szCs w:val="32"/>
        </w:rPr>
        <w:t>3</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三亚市公安局特警（防暴）支队</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303.224</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303.224</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15F39BEC">
      <w:pPr>
        <w:spacing w:line="560" w:lineRule="exact"/>
        <w:ind w:firstLine="640" w:firstLineChars="200"/>
        <w:rPr>
          <w:rFonts w:hint="eastAsia" w:ascii="楷体" w:hAnsi="楷体" w:eastAsia="楷体" w:cs="楷体"/>
          <w:bCs/>
          <w:color w:val="auto"/>
          <w:sz w:val="32"/>
          <w:szCs w:val="32"/>
        </w:rPr>
      </w:pPr>
      <w:bookmarkStart w:id="107" w:name="_Toc15129_WPSOffice_Level2"/>
      <w:bookmarkStart w:id="108" w:name="_Toc6016_WPSOffice_Level2"/>
      <w:bookmarkStart w:id="109" w:name="_Toc29584_WPSOffice_Level2"/>
      <w:bookmarkStart w:id="110" w:name="_Toc527_WPSOffice_Level2"/>
      <w:bookmarkStart w:id="111" w:name="_Toc19989_WPSOffice_Level2"/>
      <w:bookmarkStart w:id="112" w:name="_Toc10902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14:paraId="20D7F895">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bCs/>
          <w:color w:val="auto"/>
          <w:sz w:val="32"/>
          <w:szCs w:val="32"/>
        </w:rPr>
        <w:t>截至202</w:t>
      </w:r>
      <w:r>
        <w:rPr>
          <w:rFonts w:ascii="仿宋_GB2312" w:hAnsi="ˎ̥" w:eastAsia="仿宋_GB2312"/>
          <w:bCs/>
          <w:color w:val="auto"/>
          <w:sz w:val="32"/>
          <w:szCs w:val="32"/>
        </w:rPr>
        <w:t>3</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 w:hAnsi="仿宋" w:eastAsia="仿宋" w:cs="仿宋"/>
          <w:color w:val="auto"/>
          <w:kern w:val="0"/>
          <w:sz w:val="32"/>
          <w:szCs w:val="32"/>
          <w:shd w:val="clear" w:color="auto" w:fill="FFFFFF"/>
        </w:rPr>
        <w:t>32338.70</w:t>
      </w:r>
      <w:r>
        <w:rPr>
          <w:rFonts w:hint="eastAsia" w:ascii="仿宋_GB2312" w:hAnsi="ˎ̥" w:eastAsia="仿宋_GB2312"/>
          <w:color w:val="auto"/>
          <w:sz w:val="32"/>
          <w:szCs w:val="32"/>
        </w:rPr>
        <w:t>平方米，其中：办公用房</w:t>
      </w:r>
      <w:r>
        <w:rPr>
          <w:rFonts w:hint="eastAsia" w:ascii="仿宋" w:hAnsi="仿宋" w:eastAsia="仿宋" w:cs="仿宋"/>
          <w:color w:val="auto"/>
          <w:kern w:val="0"/>
          <w:sz w:val="32"/>
          <w:szCs w:val="32"/>
          <w:shd w:val="clear" w:color="auto" w:fill="FFFFFF"/>
        </w:rPr>
        <w:t>11258.70</w:t>
      </w:r>
      <w:r>
        <w:rPr>
          <w:rFonts w:hint="eastAsia" w:ascii="仿宋_GB2312" w:hAnsi="ˎ̥" w:eastAsia="仿宋_GB2312"/>
          <w:color w:val="auto"/>
          <w:sz w:val="32"/>
          <w:szCs w:val="32"/>
        </w:rPr>
        <w:t>平方米，业务用房</w:t>
      </w:r>
      <w:r>
        <w:rPr>
          <w:rFonts w:hint="eastAsia" w:ascii="仿宋" w:hAnsi="仿宋" w:eastAsia="仿宋" w:cs="仿宋"/>
          <w:color w:val="auto"/>
          <w:kern w:val="0"/>
          <w:sz w:val="32"/>
          <w:szCs w:val="32"/>
          <w:shd w:val="clear" w:color="auto" w:fill="FFFFFF"/>
        </w:rPr>
        <w:t>21080</w:t>
      </w:r>
      <w:r>
        <w:rPr>
          <w:rFonts w:hint="eastAsia" w:ascii="仿宋_GB2312" w:hAnsi="ˎ̥" w:eastAsia="仿宋_GB2312"/>
          <w:color w:val="auto"/>
          <w:sz w:val="32"/>
          <w:szCs w:val="32"/>
        </w:rPr>
        <w:t>平方米，其他（不含构筑物）</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p>
    <w:p w14:paraId="3F7D3956">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14:paraId="2FAAEA59">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年末在建工程</w:t>
      </w:r>
      <w:r>
        <w:rPr>
          <w:rFonts w:hint="default" w:ascii="仿宋_GB2312" w:hAnsi="ˎ̥" w:eastAsia="仿宋_GB2312"/>
          <w:color w:val="auto"/>
          <w:sz w:val="32"/>
          <w:szCs w:val="32"/>
          <w:lang w:val="en-US"/>
        </w:rPr>
        <w:t>980</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54</w:t>
      </w:r>
      <w:r>
        <w:rPr>
          <w:rFonts w:hint="eastAsia" w:ascii="仿宋_GB2312" w:hAnsi="ˎ̥" w:eastAsia="仿宋_GB2312"/>
          <w:color w:val="auto"/>
          <w:sz w:val="32"/>
          <w:szCs w:val="32"/>
        </w:rPr>
        <w:t>万元。</w:t>
      </w:r>
    </w:p>
    <w:p w14:paraId="45ADB778">
      <w:pPr>
        <w:spacing w:line="560" w:lineRule="exact"/>
        <w:jc w:val="center"/>
        <w:rPr>
          <w:rFonts w:hint="eastAsia" w:ascii="黑体" w:hAnsi="ˎ̥" w:eastAsia="黑体"/>
          <w:color w:val="auto"/>
          <w:sz w:val="32"/>
          <w:szCs w:val="32"/>
        </w:rPr>
      </w:pPr>
      <w:bookmarkStart w:id="113" w:name="_Toc4398_WPSOffice_Level1"/>
      <w:bookmarkStart w:id="114" w:name="_Toc15425_WPSOffice_Level1"/>
      <w:bookmarkStart w:id="115" w:name="_Toc17580_WPSOffice_Level1"/>
      <w:bookmarkStart w:id="116" w:name="_Toc8874_WPSOffice_Level1"/>
      <w:bookmarkStart w:id="117" w:name="_Toc8808_WPSOffice_Level1"/>
      <w:bookmarkStart w:id="118" w:name="_Toc11039_WPSOffice_Level1"/>
    </w:p>
    <w:p w14:paraId="513EC890">
      <w:pPr>
        <w:spacing w:line="560" w:lineRule="exact"/>
        <w:jc w:val="center"/>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14:paraId="3C01A736">
      <w:pPr>
        <w:spacing w:line="560" w:lineRule="exact"/>
        <w:jc w:val="center"/>
        <w:rPr>
          <w:rFonts w:hint="eastAsia" w:ascii="黑体" w:hAnsi="ˎ̥" w:eastAsia="黑体"/>
          <w:color w:val="auto"/>
          <w:sz w:val="32"/>
          <w:szCs w:val="32"/>
        </w:rPr>
      </w:pPr>
    </w:p>
    <w:p w14:paraId="48D7096A">
      <w:pPr>
        <w:numPr>
          <w:ilvl w:val="0"/>
          <w:numId w:val="0"/>
        </w:num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一、</w:t>
      </w:r>
      <w:r>
        <w:rPr>
          <w:rFonts w:hint="eastAsia" w:ascii="仿宋_GB2312" w:hAnsi="ˎ̥" w:eastAsia="仿宋_GB2312"/>
          <w:color w:val="auto"/>
          <w:sz w:val="32"/>
          <w:szCs w:val="32"/>
        </w:rPr>
        <w:t>财政拨款收入：指同级政府财政部门当年拨付的各类财政拨款。</w:t>
      </w:r>
    </w:p>
    <w:p w14:paraId="3FE45B00">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14:paraId="50219A78">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14:paraId="2463EE59">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14:paraId="68761E87">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14:paraId="3C47C7C0">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14:paraId="2CCAF0EA">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14:paraId="2F0A3856">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14:paraId="641B2D21">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14:paraId="3EBD7A99">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39630D89">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14:paraId="29A0E0CD">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14:paraId="3E24C673">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14:paraId="1A1CFCB3">
      <w:pPr>
        <w:spacing w:line="560"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24B40A3C">
      <w:pPr>
        <w:spacing w:line="560" w:lineRule="exact"/>
        <w:ind w:firstLine="645"/>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69AB5CE">
      <w:pPr>
        <w:spacing w:line="560" w:lineRule="exact"/>
        <w:ind w:firstLine="645"/>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14:paraId="3E87FCA2">
      <w:pPr>
        <w:spacing w:line="560" w:lineRule="exact"/>
        <w:rPr>
          <w:color w:val="auto"/>
        </w:rPr>
      </w:pPr>
    </w:p>
    <w:p w14:paraId="4705B315">
      <w:bookmarkStart w:id="119" w:name="_GoBack"/>
      <w:bookmarkEnd w:id="119"/>
    </w:p>
    <w:sectPr>
      <w:footerReference r:id="rId3" w:type="default"/>
      <w:footerReference r:id="rId4" w:type="even"/>
      <w:pgSz w:w="11906" w:h="16838"/>
      <w:pgMar w:top="2098" w:right="1474" w:bottom="172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Arial Unicode MS"/>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321B">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18</w:t>
    </w:r>
    <w:r>
      <w:fldChar w:fldCharType="end"/>
    </w:r>
  </w:p>
  <w:p w14:paraId="0AF1DAA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C8CB0">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3E6A873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zA3M2I2ZjZjMjEwMDRhOGE3MGQyYWUzZWU3NDQifQ=="/>
  </w:docVars>
  <w:rsids>
    <w:rsidRoot w:val="677B14C2"/>
    <w:rsid w:val="677B1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WPSOffice手动目录 1"/>
    <w:qFormat/>
    <w:uiPriority w:val="0"/>
    <w:rPr>
      <w:rFonts w:ascii="Times New Roman" w:hAnsi="Times New Roman" w:eastAsia="宋体" w:cs="Times New Roman"/>
      <w:lang w:val="en-US" w:eastAsia="zh-CN" w:bidi="ar-SA"/>
    </w:rPr>
  </w:style>
  <w:style w:type="paragraph" w:customStyle="1" w:styleId="8">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2024-10-15T01:24:00Z</dcterms:created>
  <dc:creator>智霖。</dc:creator>
  <cp:lastModifiedBy>智霖。</cp:lastModifiedBy>
  <dcterms:modified xsi:type="dcterms:W3CDTF">2024-10-15T01:25:09Z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EA954C7ED14446C5A034ED13F0B5464D_11</vt:lpwstr>
  </property>
</Properties>
</file>