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sz w:val="44"/>
          <w:szCs w:val="44"/>
          <w:lang w:val="en-US"/>
        </w:rPr>
      </w:pPr>
      <w:r>
        <w:rPr>
          <w:rFonts w:hint="eastAsia" w:ascii="宋体" w:hAnsi="宋体" w:eastAsia="宋体" w:cs="宋体"/>
          <w:b/>
          <w:bCs w:val="0"/>
          <w:sz w:val="44"/>
          <w:szCs w:val="44"/>
        </w:rPr>
        <w:t>三亚市公安局</w:t>
      </w:r>
      <w:r>
        <w:rPr>
          <w:rFonts w:hint="eastAsia" w:ascii="宋体" w:hAnsi="宋体" w:eastAsia="宋体" w:cs="宋体"/>
          <w:b/>
          <w:bCs w:val="0"/>
          <w:sz w:val="44"/>
          <w:szCs w:val="44"/>
          <w:lang w:val="en-US" w:eastAsia="zh-CN"/>
        </w:rPr>
        <w:t>交通警察支队</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eastAsia="zh-CN"/>
        </w:rPr>
        <w:t>20</w:t>
      </w:r>
      <w:r>
        <w:rPr>
          <w:rFonts w:hint="eastAsia" w:ascii="宋体" w:hAnsi="宋体" w:eastAsia="宋体" w:cs="宋体"/>
          <w:b/>
          <w:bCs w:val="0"/>
          <w:kern w:val="0"/>
          <w:sz w:val="44"/>
          <w:szCs w:val="44"/>
          <w:lang w:val="en-US" w:eastAsia="zh-CN"/>
        </w:rPr>
        <w:t>24</w:t>
      </w:r>
      <w:r>
        <w:rPr>
          <w:rFonts w:hint="eastAsia" w:ascii="宋体" w:hAnsi="宋体" w:eastAsia="宋体" w:cs="宋体"/>
          <w:b/>
          <w:bCs w:val="0"/>
          <w:kern w:val="0"/>
          <w:sz w:val="44"/>
          <w:szCs w:val="44"/>
          <w:lang w:eastAsia="zh-CN"/>
        </w:rPr>
        <w:t>年</w:t>
      </w:r>
      <w:r>
        <w:rPr>
          <w:rFonts w:hint="eastAsia" w:ascii="宋体" w:hAnsi="宋体" w:eastAsia="宋体" w:cs="宋体"/>
          <w:b/>
          <w:bCs w:val="0"/>
          <w:kern w:val="0"/>
          <w:sz w:val="44"/>
          <w:szCs w:val="44"/>
        </w:rPr>
        <w:t>度</w:t>
      </w:r>
      <w:r>
        <w:rPr>
          <w:rFonts w:hint="eastAsia" w:ascii="宋体" w:hAnsi="宋体" w:eastAsia="宋体" w:cs="宋体"/>
          <w:b/>
          <w:bCs w:val="0"/>
          <w:kern w:val="0"/>
          <w:sz w:val="44"/>
          <w:szCs w:val="44"/>
          <w:lang w:val="en-US" w:eastAsia="zh-CN"/>
        </w:rPr>
        <w:t>抱坡体育产业园片区与鹿城大道增设交通管控设备采购项目</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sz w:val="44"/>
          <w:szCs w:val="44"/>
        </w:rPr>
      </w:pPr>
      <w:r>
        <w:rPr>
          <w:rFonts w:hint="eastAsia" w:ascii="宋体" w:hAnsi="宋体" w:eastAsia="宋体" w:cs="宋体"/>
          <w:b/>
          <w:bCs w:val="0"/>
          <w:sz w:val="44"/>
          <w:szCs w:val="44"/>
        </w:rPr>
        <w:t>绩效自评报告</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kern w:val="0"/>
          <w:sz w:val="52"/>
          <w:szCs w:val="52"/>
        </w:rPr>
      </w:pPr>
    </w:p>
    <w:p>
      <w:pPr>
        <w:keepNext w:val="0"/>
        <w:keepLines w:val="0"/>
        <w:pageBreakBefore w:val="0"/>
        <w:kinsoku/>
        <w:wordWrap/>
        <w:overflowPunct/>
        <w:topLinePunct w:val="0"/>
        <w:autoSpaceDE/>
        <w:autoSpaceDN/>
        <w:bidi w:val="0"/>
        <w:spacing w:line="600" w:lineRule="exact"/>
        <w:jc w:val="both"/>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both"/>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both"/>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both"/>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textAlignment w:val="auto"/>
        <w:rPr>
          <w:rFonts w:hint="eastAsia" w:ascii="宋体" w:hAnsi="宋体" w:eastAsia="宋体" w:cs="宋体"/>
          <w:b w:val="0"/>
          <w:bCs/>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sz w:val="32"/>
          <w:szCs w:val="32"/>
          <w:lang w:val="en-US" w:eastAsia="zh-CN"/>
        </w:rPr>
      </w:pPr>
      <w:r>
        <w:rPr>
          <w:rFonts w:hint="eastAsia" w:ascii="宋体" w:hAnsi="宋体" w:eastAsia="宋体" w:cs="宋体"/>
          <w:b/>
          <w:bCs w:val="0"/>
          <w:sz w:val="32"/>
          <w:szCs w:val="32"/>
        </w:rPr>
        <w:t>三亚市公安局</w:t>
      </w:r>
      <w:r>
        <w:rPr>
          <w:rFonts w:hint="eastAsia" w:ascii="宋体" w:hAnsi="宋体" w:eastAsia="宋体" w:cs="宋体"/>
          <w:b/>
          <w:bCs w:val="0"/>
          <w:sz w:val="32"/>
          <w:szCs w:val="32"/>
          <w:lang w:val="en-US" w:eastAsia="zh-CN"/>
        </w:rPr>
        <w:t>交通警察支队</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sz w:val="32"/>
          <w:szCs w:val="32"/>
        </w:rPr>
      </w:pPr>
      <w:r>
        <w:rPr>
          <w:rFonts w:hint="eastAsia" w:ascii="宋体" w:hAnsi="宋体" w:eastAsia="宋体" w:cs="宋体"/>
          <w:b/>
          <w:bCs w:val="0"/>
          <w:sz w:val="32"/>
          <w:szCs w:val="32"/>
        </w:rPr>
        <w:t>二0</w:t>
      </w:r>
      <w:r>
        <w:rPr>
          <w:rFonts w:hint="eastAsia" w:ascii="宋体" w:hAnsi="宋体" w:eastAsia="宋体" w:cs="宋体"/>
          <w:b/>
          <w:bCs w:val="0"/>
          <w:sz w:val="32"/>
          <w:szCs w:val="32"/>
          <w:lang w:eastAsia="zh-CN"/>
        </w:rPr>
        <w:t>二五</w:t>
      </w:r>
      <w:r>
        <w:rPr>
          <w:rFonts w:hint="eastAsia" w:ascii="宋体" w:hAnsi="宋体" w:eastAsia="宋体" w:cs="宋体"/>
          <w:b/>
          <w:bCs w:val="0"/>
          <w:sz w:val="32"/>
          <w:szCs w:val="32"/>
        </w:rPr>
        <w:t>年</w:t>
      </w:r>
      <w:r>
        <w:rPr>
          <w:rFonts w:hint="eastAsia" w:ascii="宋体" w:hAnsi="宋体" w:eastAsia="宋体" w:cs="宋体"/>
          <w:b/>
          <w:bCs w:val="0"/>
          <w:sz w:val="32"/>
          <w:szCs w:val="32"/>
          <w:lang w:val="en-US" w:eastAsia="zh-CN"/>
        </w:rPr>
        <w:t>五</w:t>
      </w:r>
      <w:r>
        <w:rPr>
          <w:rFonts w:hint="eastAsia" w:ascii="宋体" w:hAnsi="宋体" w:eastAsia="宋体" w:cs="宋体"/>
          <w:b/>
          <w:bCs w:val="0"/>
          <w:sz w:val="32"/>
          <w:szCs w:val="32"/>
        </w:rPr>
        <w:t>月</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eastAsia="宋体" w:cs="宋体"/>
          <w:b/>
          <w:bCs w:val="0"/>
          <w:sz w:val="32"/>
          <w:szCs w:val="32"/>
        </w:rPr>
      </w:pPr>
    </w:p>
    <w:p>
      <w:pPr>
        <w:pStyle w:val="4"/>
        <w:keepNext w:val="0"/>
        <w:keepLines w:val="0"/>
        <w:widowControl/>
        <w:suppressLineNumbers w:val="0"/>
        <w:spacing w:before="100" w:beforeAutospacing="0" w:after="100" w:afterAutospacing="0" w:line="525" w:lineRule="atLeast"/>
        <w:ind w:left="0" w:right="0" w:firstLine="645"/>
        <w:jc w:val="left"/>
        <w:rPr>
          <w:rFonts w:hint="eastAsia" w:ascii="宋体" w:hAnsi="宋体" w:eastAsia="宋体" w:cs="宋体"/>
          <w:i w:val="0"/>
          <w:iCs w:val="0"/>
          <w:caps w:val="0"/>
          <w:color w:val="000000"/>
          <w:spacing w:val="0"/>
          <w:sz w:val="27"/>
          <w:szCs w:val="27"/>
        </w:rPr>
      </w:pPr>
      <w:r>
        <w:rPr>
          <w:rFonts w:ascii="黑体" w:hAnsi="宋体" w:eastAsia="黑体" w:cs="黑体"/>
          <w:i w:val="0"/>
          <w:iCs w:val="0"/>
          <w:caps w:val="0"/>
          <w:color w:val="000000"/>
          <w:spacing w:val="0"/>
          <w:sz w:val="31"/>
          <w:szCs w:val="31"/>
        </w:rPr>
        <w:t>一、项</w:t>
      </w:r>
      <w:bookmarkStart w:id="4" w:name="_GoBack"/>
      <w:bookmarkEnd w:id="4"/>
      <w:r>
        <w:rPr>
          <w:rFonts w:ascii="黑体" w:hAnsi="宋体" w:eastAsia="黑体" w:cs="黑体"/>
          <w:i w:val="0"/>
          <w:iCs w:val="0"/>
          <w:caps w:val="0"/>
          <w:color w:val="000000"/>
          <w:spacing w:val="0"/>
          <w:sz w:val="31"/>
          <w:szCs w:val="31"/>
        </w:rPr>
        <w:t>目概况</w:t>
      </w:r>
      <w:r>
        <w:rPr>
          <w:rFonts w:hint="eastAsia" w:ascii="黑体" w:hAnsi="宋体" w:eastAsia="黑体" w:cs="黑体"/>
          <w:i w:val="0"/>
          <w:iCs w:val="0"/>
          <w:caps w:val="0"/>
          <w:color w:val="000000"/>
          <w:spacing w:val="0"/>
          <w:sz w:val="31"/>
          <w:szCs w:val="31"/>
        </w:rPr>
        <w:t>    </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（一）项目基本情况</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项目</w:t>
      </w:r>
      <w:r>
        <w:rPr>
          <w:rFonts w:hint="eastAsia" w:ascii="仿宋_GB2312" w:hAnsi="宋体" w:eastAsia="仿宋_GB2312" w:cs="仿宋_GB2312"/>
          <w:i w:val="0"/>
          <w:iCs w:val="0"/>
          <w:caps w:val="0"/>
          <w:color w:val="000000"/>
          <w:spacing w:val="0"/>
          <w:sz w:val="31"/>
          <w:szCs w:val="31"/>
          <w:lang w:eastAsia="zh-CN"/>
        </w:rPr>
        <w:t>名称：</w:t>
      </w:r>
      <w:r>
        <w:rPr>
          <w:rFonts w:hint="eastAsia" w:ascii="仿宋_GB2312" w:hAnsi="宋体" w:eastAsia="仿宋_GB2312" w:cs="仿宋_GB2312"/>
          <w:i w:val="0"/>
          <w:iCs w:val="0"/>
          <w:caps w:val="0"/>
          <w:color w:val="000000"/>
          <w:spacing w:val="0"/>
          <w:sz w:val="31"/>
          <w:szCs w:val="31"/>
        </w:rPr>
        <w:t>抱坡体育产业园片区与鹿城大道增设交通管控设备采购</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预算单位</w:t>
      </w:r>
      <w:r>
        <w:rPr>
          <w:rFonts w:hint="eastAsia" w:ascii="仿宋_GB2312" w:hAnsi="宋体" w:eastAsia="仿宋_GB2312" w:cs="仿宋_GB2312"/>
          <w:i w:val="0"/>
          <w:iCs w:val="0"/>
          <w:caps w:val="0"/>
          <w:color w:val="000000"/>
          <w:spacing w:val="0"/>
          <w:sz w:val="31"/>
          <w:szCs w:val="31"/>
          <w:lang w:eastAsia="zh-CN"/>
        </w:rPr>
        <w:t>：</w:t>
      </w:r>
      <w:r>
        <w:rPr>
          <w:rFonts w:hint="eastAsia" w:ascii="仿宋_GB2312" w:hAnsi="宋体" w:eastAsia="仿宋_GB2312" w:cs="仿宋_GB2312"/>
          <w:i w:val="0"/>
          <w:iCs w:val="0"/>
          <w:caps w:val="0"/>
          <w:color w:val="000000"/>
          <w:spacing w:val="0"/>
          <w:sz w:val="31"/>
          <w:szCs w:val="31"/>
        </w:rPr>
        <w:t>三亚市公安局交通警察支队</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主管部门</w:t>
      </w:r>
      <w:r>
        <w:rPr>
          <w:rFonts w:hint="eastAsia" w:ascii="仿宋_GB2312" w:hAnsi="宋体" w:eastAsia="仿宋_GB2312" w:cs="仿宋_GB2312"/>
          <w:i w:val="0"/>
          <w:iCs w:val="0"/>
          <w:caps w:val="0"/>
          <w:color w:val="000000"/>
          <w:spacing w:val="0"/>
          <w:sz w:val="31"/>
          <w:szCs w:val="31"/>
          <w:lang w:eastAsia="zh-CN"/>
        </w:rPr>
        <w:t>：</w:t>
      </w:r>
      <w:r>
        <w:rPr>
          <w:rFonts w:hint="eastAsia" w:ascii="仿宋_GB2312" w:hAnsi="宋体" w:eastAsia="仿宋_GB2312" w:cs="仿宋_GB2312"/>
          <w:i w:val="0"/>
          <w:iCs w:val="0"/>
          <w:caps w:val="0"/>
          <w:color w:val="000000"/>
          <w:spacing w:val="0"/>
          <w:sz w:val="31"/>
          <w:szCs w:val="31"/>
        </w:rPr>
        <w:t>三亚市公安局</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项目负责人为：李良喆</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联系电话：18789005080</w:t>
      </w:r>
    </w:p>
    <w:p>
      <w:pPr>
        <w:spacing w:line="360" w:lineRule="auto"/>
        <w:ind w:firstLine="620" w:firstLineChars="200"/>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项目概述如下：</w:t>
      </w:r>
    </w:p>
    <w:p>
      <w:pPr>
        <w:spacing w:line="360" w:lineRule="auto"/>
        <w:ind w:firstLine="620" w:firstLineChars="200"/>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三亚市抱坡体育产业园片区与鹿城大道的重要干道、路口、制高点等区域未全覆盖视频监控、电子警察、卡口、信号灯等智能设备，无法对道路交通进行智能化管控。根据三亚市抱坡体育产业园片区与鹿城大道的重要干道、路口、制高点等区域实际需求，采购制高点监控、测速卡口、交通信号控制、电子警察、视频监控、诱导屏、不礼让行人抓拍、存储等交通管控设备等及配套设施等。 </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总体目标：完成抱坡体育产业园片区与鹿城大道增设交通管控设备采购项目全部建设内容。</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2024年年度目标是完成抱坡体育产业园片区与鹿城大道增设交通管控设备采购项目全部建设内容。</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646"/>
        <w:jc w:val="left"/>
        <w:textAlignment w:val="auto"/>
        <w:rPr>
          <w:rFonts w:hint="eastAsia" w:ascii="仿宋_GB2312" w:hAnsi="宋体" w:eastAsia="仿宋_GB2312" w:cs="仿宋_GB2312"/>
          <w:i w:val="0"/>
          <w:iCs w:val="0"/>
          <w:caps w:val="0"/>
          <w:color w:val="000000"/>
          <w:spacing w:val="0"/>
          <w:sz w:val="31"/>
          <w:szCs w:val="31"/>
          <w:lang w:eastAsia="zh-CN"/>
        </w:rPr>
      </w:pPr>
      <w:r>
        <w:rPr>
          <w:rFonts w:hint="eastAsia" w:ascii="仿宋_GB2312" w:hAnsi="宋体" w:eastAsia="仿宋_GB2312" w:cs="仿宋_GB2312"/>
          <w:i w:val="0"/>
          <w:iCs w:val="0"/>
          <w:caps w:val="0"/>
          <w:color w:val="000000"/>
          <w:spacing w:val="0"/>
          <w:sz w:val="31"/>
          <w:szCs w:val="31"/>
        </w:rPr>
        <w:t>当年年度目标完成情况：</w:t>
      </w:r>
      <w:r>
        <w:rPr>
          <w:rFonts w:hint="eastAsia" w:ascii="仿宋_GB2312" w:hAnsi="宋体" w:eastAsia="仿宋_GB2312" w:cs="仿宋_GB2312"/>
          <w:i w:val="0"/>
          <w:iCs w:val="0"/>
          <w:caps w:val="0"/>
          <w:color w:val="000000"/>
          <w:spacing w:val="0"/>
          <w:sz w:val="31"/>
          <w:szCs w:val="31"/>
          <w:lang w:val="en-US" w:eastAsia="zh-CN"/>
        </w:rPr>
        <w:t>2024年</w:t>
      </w:r>
      <w:r>
        <w:rPr>
          <w:rFonts w:hint="eastAsia" w:ascii="仿宋_GB2312" w:hAnsi="宋体" w:eastAsia="仿宋_GB2312" w:cs="仿宋_GB2312"/>
          <w:i w:val="0"/>
          <w:iCs w:val="0"/>
          <w:caps w:val="0"/>
          <w:color w:val="000000"/>
          <w:spacing w:val="0"/>
          <w:sz w:val="31"/>
          <w:szCs w:val="31"/>
        </w:rPr>
        <w:t>因项目招投标流程繁琐、耗时较久，导致开标、合同签署和支付预付款等手续未能按预期进行</w:t>
      </w:r>
      <w:r>
        <w:rPr>
          <w:rFonts w:hint="eastAsia" w:ascii="仿宋_GB2312" w:hAnsi="宋体" w:eastAsia="仿宋_GB2312" w:cs="仿宋_GB2312"/>
          <w:i w:val="0"/>
          <w:iCs w:val="0"/>
          <w:caps w:val="0"/>
          <w:color w:val="000000"/>
          <w:spacing w:val="0"/>
          <w:sz w:val="31"/>
          <w:szCs w:val="31"/>
          <w:lang w:eastAsia="zh-CN"/>
        </w:rPr>
        <w:t>。</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1"/>
          <w:szCs w:val="31"/>
        </w:rPr>
        <w:t>二、项目决策及资金使用管理情况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（一）项目决策情况（包括决策过程和结果）</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1.项目决策方面：</w:t>
      </w:r>
      <w:r>
        <w:rPr>
          <w:rFonts w:hint="eastAsia" w:ascii="仿宋" w:hAnsi="仿宋" w:eastAsia="仿宋" w:cs="仿宋"/>
          <w:b w:val="0"/>
          <w:bCs w:val="0"/>
          <w:sz w:val="32"/>
          <w:szCs w:val="32"/>
          <w:lang w:eastAsia="zh-CN"/>
        </w:rPr>
        <w:t>该项目立项依据充分、过程规范，立项内容符合国家政策、发展规划要求；项目预算编制科学合理，预算内容符合项目实际需求，预算额度测算依据充分。</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项目过程方面：该项目过程执行规范，资金制度健全，审批程序和手续完整，资金使用符合国家财经法规和《三亚市公安局交通警察支队财务管理规定》。</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rightChars="0" w:firstLine="645"/>
        <w:jc w:val="both"/>
        <w:textAlignment w:val="auto"/>
        <w:rPr>
          <w:rFonts w:hint="eastAsia" w:ascii="仿宋_GB2312" w:hAnsi="宋体" w:eastAsia="仿宋_GB2312" w:cs="仿宋_GB2312"/>
          <w:i w:val="0"/>
          <w:iCs w:val="0"/>
          <w:caps w:val="0"/>
          <w:color w:val="000000"/>
          <w:spacing w:val="0"/>
          <w:sz w:val="31"/>
          <w:szCs w:val="31"/>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项目产出方面：</w:t>
      </w:r>
      <w:r>
        <w:rPr>
          <w:rFonts w:hint="eastAsia" w:ascii="仿宋_GB2312" w:hAnsi="宋体" w:eastAsia="仿宋_GB2312" w:cs="仿宋_GB2312"/>
          <w:i w:val="0"/>
          <w:iCs w:val="0"/>
          <w:caps w:val="0"/>
          <w:color w:val="000000"/>
          <w:spacing w:val="0"/>
          <w:sz w:val="31"/>
          <w:szCs w:val="31"/>
        </w:rPr>
        <w:t>招投标流程繁琐、耗时较久，导致开标、合同签署和支付预付款等手续未能按预期进行</w:t>
      </w:r>
      <w:r>
        <w:rPr>
          <w:rFonts w:hint="eastAsia" w:ascii="仿宋_GB2312" w:hAnsi="宋体" w:eastAsia="仿宋_GB2312" w:cs="仿宋_GB2312"/>
          <w:i w:val="0"/>
          <w:iCs w:val="0"/>
          <w:caps w:val="0"/>
          <w:color w:val="000000"/>
          <w:spacing w:val="0"/>
          <w:sz w:val="31"/>
          <w:szCs w:val="31"/>
          <w:lang w:eastAsia="zh-CN"/>
        </w:rPr>
        <w:t>。</w:t>
      </w:r>
      <w:r>
        <w:rPr>
          <w:rFonts w:hint="eastAsia" w:ascii="仿宋_GB2312" w:hAnsi="仿宋_GB2312" w:eastAsia="仿宋_GB2312" w:cs="仿宋_GB2312"/>
          <w:b w:val="0"/>
          <w:bCs w:val="0"/>
          <w:sz w:val="32"/>
          <w:szCs w:val="32"/>
          <w:lang w:eastAsia="zh-CN"/>
        </w:rPr>
        <w:t>因此施工计划产生滞后，项目产出方面受到一定影响</w:t>
      </w:r>
      <w:r>
        <w:rPr>
          <w:rFonts w:hint="eastAsia" w:ascii="仿宋_GB2312" w:hAnsi="仿宋_GB2312" w:eastAsia="仿宋_GB2312" w:cs="仿宋_GB2312"/>
          <w:sz w:val="32"/>
          <w:szCs w:val="32"/>
          <w:lang w:eastAsia="zh-CN"/>
        </w:rPr>
        <w:t>。</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宋体" w:hAnsi="宋体" w:eastAsia="宋体" w:cs="宋体"/>
          <w:i w:val="0"/>
          <w:iCs w:val="0"/>
          <w:caps w:val="0"/>
          <w:color w:val="000000"/>
          <w:spacing w:val="0"/>
          <w:sz w:val="27"/>
          <w:szCs w:val="27"/>
        </w:rPr>
      </w:pPr>
      <w:r>
        <w:rPr>
          <w:rFonts w:ascii="楷体_GB2312" w:hAnsi="宋体" w:eastAsia="楷体_GB2312" w:cs="楷体_GB2312"/>
          <w:i w:val="0"/>
          <w:iCs w:val="0"/>
          <w:caps w:val="0"/>
          <w:color w:val="000000"/>
          <w:spacing w:val="0"/>
          <w:sz w:val="31"/>
          <w:szCs w:val="31"/>
        </w:rPr>
        <w:t>资金总额</w:t>
      </w:r>
      <w:r>
        <w:rPr>
          <w:rFonts w:hint="eastAsia" w:ascii="楷体_GB2312" w:hAnsi="宋体" w:eastAsia="楷体_GB2312" w:cs="楷体_GB2312"/>
          <w:i w:val="0"/>
          <w:iCs w:val="0"/>
          <w:caps w:val="0"/>
          <w:color w:val="000000"/>
          <w:spacing w:val="0"/>
          <w:sz w:val="31"/>
          <w:szCs w:val="31"/>
        </w:rPr>
        <w:t>-年初预算数1000</w:t>
      </w:r>
      <w:r>
        <w:rPr>
          <w:rFonts w:hint="eastAsia" w:ascii="楷体_GB2312" w:hAnsi="宋体" w:eastAsia="楷体_GB2312" w:cs="楷体_GB2312"/>
          <w:i w:val="0"/>
          <w:iCs w:val="0"/>
          <w:caps w:val="0"/>
          <w:color w:val="000000"/>
          <w:spacing w:val="0"/>
          <w:sz w:val="31"/>
          <w:szCs w:val="31"/>
          <w:lang w:eastAsia="zh-CN"/>
        </w:rPr>
        <w:t>万</w:t>
      </w:r>
      <w:r>
        <w:rPr>
          <w:rFonts w:hint="eastAsia" w:ascii="仿宋_GB2312" w:hAnsi="宋体" w:eastAsia="仿宋_GB2312" w:cs="仿宋_GB2312"/>
          <w:i w:val="0"/>
          <w:iCs w:val="0"/>
          <w:caps w:val="0"/>
          <w:color w:val="000000"/>
          <w:spacing w:val="0"/>
          <w:sz w:val="31"/>
          <w:szCs w:val="31"/>
        </w:rPr>
        <w:t>元，</w:t>
      </w:r>
      <w:r>
        <w:rPr>
          <w:rFonts w:hint="eastAsia" w:ascii="楷体_GB2312" w:hAnsi="宋体" w:eastAsia="楷体_GB2312" w:cs="楷体_GB2312"/>
          <w:i w:val="0"/>
          <w:iCs w:val="0"/>
          <w:caps w:val="0"/>
          <w:color w:val="000000"/>
          <w:spacing w:val="0"/>
          <w:sz w:val="31"/>
          <w:szCs w:val="31"/>
        </w:rPr>
        <w:t>资金总额-全年预算数956</w:t>
      </w:r>
      <w:r>
        <w:rPr>
          <w:rFonts w:hint="eastAsia" w:ascii="楷体_GB2312" w:hAnsi="宋体" w:eastAsia="楷体_GB2312" w:cs="楷体_GB2312"/>
          <w:i w:val="0"/>
          <w:iCs w:val="0"/>
          <w:caps w:val="0"/>
          <w:color w:val="000000"/>
          <w:spacing w:val="0"/>
          <w:sz w:val="31"/>
          <w:szCs w:val="31"/>
          <w:lang w:val="en-US" w:eastAsia="zh-CN"/>
        </w:rPr>
        <w:t>.2</w:t>
      </w:r>
      <w:r>
        <w:rPr>
          <w:rFonts w:hint="eastAsia" w:ascii="楷体_GB2312" w:hAnsi="宋体" w:eastAsia="楷体_GB2312" w:cs="楷体_GB2312"/>
          <w:i w:val="0"/>
          <w:iCs w:val="0"/>
          <w:caps w:val="0"/>
          <w:color w:val="000000"/>
          <w:spacing w:val="0"/>
          <w:sz w:val="31"/>
          <w:szCs w:val="31"/>
          <w:lang w:eastAsia="zh-CN"/>
        </w:rPr>
        <w:t>万</w:t>
      </w:r>
      <w:r>
        <w:rPr>
          <w:rFonts w:hint="eastAsia" w:ascii="仿宋_GB2312" w:hAnsi="宋体" w:eastAsia="仿宋_GB2312" w:cs="仿宋_GB2312"/>
          <w:i w:val="0"/>
          <w:iCs w:val="0"/>
          <w:caps w:val="0"/>
          <w:color w:val="000000"/>
          <w:spacing w:val="0"/>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宋体" w:hAnsi="宋体" w:eastAsia="宋体" w:cs="宋体"/>
          <w:i w:val="0"/>
          <w:iCs w:val="0"/>
          <w:caps w:val="0"/>
          <w:color w:val="000000"/>
          <w:spacing w:val="0"/>
          <w:sz w:val="27"/>
          <w:szCs w:val="27"/>
        </w:rPr>
      </w:pPr>
      <w:r>
        <w:rPr>
          <w:rFonts w:hint="eastAsia" w:ascii="楷体_GB2312" w:hAnsi="宋体" w:eastAsia="楷体_GB2312" w:cs="楷体_GB2312"/>
          <w:i w:val="0"/>
          <w:iCs w:val="0"/>
          <w:caps w:val="0"/>
          <w:color w:val="000000"/>
          <w:spacing w:val="0"/>
          <w:sz w:val="31"/>
          <w:szCs w:val="31"/>
        </w:rPr>
        <w:t>财政资金-年初预算数1000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元财政资金-全年预算数</w:t>
      </w:r>
      <w:r>
        <w:rPr>
          <w:rFonts w:hint="eastAsia" w:ascii="楷体_GB2312" w:hAnsi="宋体" w:eastAsia="楷体_GB2312" w:cs="楷体_GB2312"/>
          <w:i w:val="0"/>
          <w:iCs w:val="0"/>
          <w:caps w:val="0"/>
          <w:color w:val="000000"/>
          <w:spacing w:val="0"/>
          <w:sz w:val="31"/>
          <w:szCs w:val="31"/>
          <w:lang w:eastAsia="zh-CN"/>
        </w:rPr>
        <w:t>956</w:t>
      </w:r>
      <w:r>
        <w:rPr>
          <w:rFonts w:hint="eastAsia" w:ascii="楷体_GB2312" w:hAnsi="宋体" w:eastAsia="楷体_GB2312" w:cs="楷体_GB2312"/>
          <w:i w:val="0"/>
          <w:iCs w:val="0"/>
          <w:caps w:val="0"/>
          <w:color w:val="000000"/>
          <w:spacing w:val="0"/>
          <w:sz w:val="31"/>
          <w:szCs w:val="31"/>
          <w:lang w:val="en-US" w:eastAsia="zh-CN"/>
        </w:rPr>
        <w:t>.2</w:t>
      </w:r>
      <w:r>
        <w:rPr>
          <w:rFonts w:hint="eastAsia" w:ascii="楷体_GB2312" w:hAnsi="宋体" w:eastAsia="楷体_GB2312" w:cs="楷体_GB2312"/>
          <w:i w:val="0"/>
          <w:iCs w:val="0"/>
          <w:caps w:val="0"/>
          <w:color w:val="000000"/>
          <w:spacing w:val="0"/>
          <w:sz w:val="31"/>
          <w:szCs w:val="31"/>
          <w:lang w:eastAsia="zh-CN"/>
        </w:rPr>
        <w:t>万</w:t>
      </w:r>
      <w:r>
        <w:rPr>
          <w:rFonts w:hint="eastAsia" w:ascii="仿宋_GB2312" w:hAnsi="宋体" w:eastAsia="仿宋_GB2312" w:cs="仿宋_GB2312"/>
          <w:i w:val="0"/>
          <w:iCs w:val="0"/>
          <w:caps w:val="0"/>
          <w:color w:val="000000"/>
          <w:spacing w:val="0"/>
          <w:sz w:val="31"/>
          <w:szCs w:val="31"/>
        </w:rPr>
        <w:t>元，</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rPr>
      </w:pPr>
      <w:r>
        <w:rPr>
          <w:rFonts w:hint="eastAsia" w:ascii="楷体_GB2312" w:hAnsi="宋体" w:eastAsia="楷体_GB2312" w:cs="楷体_GB2312"/>
          <w:i w:val="0"/>
          <w:iCs w:val="0"/>
          <w:caps w:val="0"/>
          <w:color w:val="000000"/>
          <w:spacing w:val="0"/>
          <w:sz w:val="31"/>
          <w:szCs w:val="31"/>
        </w:rPr>
        <w:t>专户-年初预算数0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w:t>
      </w:r>
      <w:r>
        <w:rPr>
          <w:rFonts w:hint="eastAsia" w:ascii="楷体_GB2312" w:hAnsi="宋体" w:eastAsia="楷体_GB2312" w:cs="楷体_GB2312"/>
          <w:i w:val="0"/>
          <w:iCs w:val="0"/>
          <w:caps w:val="0"/>
          <w:color w:val="000000"/>
          <w:spacing w:val="0"/>
          <w:sz w:val="31"/>
          <w:szCs w:val="31"/>
        </w:rPr>
        <w:t>专户全年预算数</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0元，</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rPr>
      </w:pPr>
      <w:r>
        <w:rPr>
          <w:rFonts w:hint="eastAsia" w:ascii="楷体_GB2312" w:hAnsi="宋体" w:eastAsia="楷体_GB2312" w:cs="楷体_GB2312"/>
          <w:i w:val="0"/>
          <w:iCs w:val="0"/>
          <w:caps w:val="0"/>
          <w:color w:val="000000"/>
          <w:spacing w:val="0"/>
          <w:sz w:val="31"/>
          <w:szCs w:val="31"/>
        </w:rPr>
        <w:t>单位年初预算数0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元，单位全年预算数0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资金执行情况如下：</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rPr>
      </w:pPr>
      <w:r>
        <w:rPr>
          <w:rFonts w:hint="eastAsia" w:ascii="楷体_GB2312" w:hAnsi="宋体" w:eastAsia="楷体_GB2312" w:cs="楷体_GB2312"/>
          <w:i w:val="0"/>
          <w:iCs w:val="0"/>
          <w:caps w:val="0"/>
          <w:color w:val="000000"/>
          <w:spacing w:val="0"/>
          <w:sz w:val="31"/>
          <w:szCs w:val="31"/>
        </w:rPr>
        <w:t>资金总额-全年执行数28</w:t>
      </w:r>
      <w:r>
        <w:rPr>
          <w:rFonts w:hint="eastAsia" w:ascii="楷体_GB2312" w:hAnsi="宋体" w:eastAsia="楷体_GB2312" w:cs="楷体_GB2312"/>
          <w:i w:val="0"/>
          <w:iCs w:val="0"/>
          <w:caps w:val="0"/>
          <w:color w:val="000000"/>
          <w:spacing w:val="0"/>
          <w:sz w:val="31"/>
          <w:szCs w:val="31"/>
          <w:lang w:val="en-US" w:eastAsia="zh-CN"/>
        </w:rPr>
        <w:t>6万</w:t>
      </w:r>
      <w:r>
        <w:rPr>
          <w:rFonts w:hint="eastAsia" w:ascii="楷体_GB2312" w:hAnsi="宋体" w:eastAsia="楷体_GB2312" w:cs="楷体_GB2312"/>
          <w:i w:val="0"/>
          <w:iCs w:val="0"/>
          <w:caps w:val="0"/>
          <w:color w:val="000000"/>
          <w:spacing w:val="0"/>
          <w:sz w:val="31"/>
          <w:szCs w:val="31"/>
        </w:rPr>
        <w:t>元，资金总额-执行率29.88%</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rPr>
      </w:pPr>
      <w:r>
        <w:rPr>
          <w:rFonts w:hint="eastAsia" w:ascii="楷体_GB2312" w:hAnsi="宋体" w:eastAsia="楷体_GB2312" w:cs="楷体_GB2312"/>
          <w:i w:val="0"/>
          <w:iCs w:val="0"/>
          <w:caps w:val="0"/>
          <w:color w:val="000000"/>
          <w:spacing w:val="0"/>
          <w:sz w:val="31"/>
          <w:szCs w:val="31"/>
        </w:rPr>
        <w:t>其中：</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lang w:eastAsia="zh-CN"/>
        </w:rPr>
      </w:pPr>
      <w:r>
        <w:rPr>
          <w:rFonts w:hint="eastAsia" w:ascii="楷体_GB2312" w:hAnsi="宋体" w:eastAsia="楷体_GB2312" w:cs="楷体_GB2312"/>
          <w:i w:val="0"/>
          <w:iCs w:val="0"/>
          <w:caps w:val="0"/>
          <w:color w:val="000000"/>
          <w:spacing w:val="0"/>
          <w:sz w:val="31"/>
          <w:szCs w:val="31"/>
        </w:rPr>
        <w:t>财政资金-全年执行数28</w:t>
      </w:r>
      <w:r>
        <w:rPr>
          <w:rFonts w:hint="eastAsia" w:ascii="楷体_GB2312" w:hAnsi="宋体" w:eastAsia="楷体_GB2312" w:cs="楷体_GB2312"/>
          <w:i w:val="0"/>
          <w:iCs w:val="0"/>
          <w:caps w:val="0"/>
          <w:color w:val="000000"/>
          <w:spacing w:val="0"/>
          <w:sz w:val="31"/>
          <w:szCs w:val="31"/>
          <w:lang w:val="en-US" w:eastAsia="zh-CN"/>
        </w:rPr>
        <w:t>6万</w:t>
      </w:r>
      <w:r>
        <w:rPr>
          <w:rFonts w:hint="eastAsia" w:ascii="楷体_GB2312" w:hAnsi="宋体" w:eastAsia="楷体_GB2312" w:cs="楷体_GB2312"/>
          <w:i w:val="0"/>
          <w:iCs w:val="0"/>
          <w:caps w:val="0"/>
          <w:color w:val="000000"/>
          <w:spacing w:val="0"/>
          <w:sz w:val="31"/>
          <w:szCs w:val="31"/>
        </w:rPr>
        <w:t>元，财政资金-执行率29.88%</w:t>
      </w:r>
      <w:r>
        <w:rPr>
          <w:rFonts w:hint="eastAsia" w:ascii="楷体_GB2312" w:hAnsi="宋体" w:eastAsia="楷体_GB2312" w:cs="楷体_GB2312"/>
          <w:i w:val="0"/>
          <w:iCs w:val="0"/>
          <w:caps w:val="0"/>
          <w:color w:val="000000"/>
          <w:spacing w:val="0"/>
          <w:sz w:val="31"/>
          <w:szCs w:val="31"/>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default" w:ascii="楷体_GB2312" w:hAnsi="宋体" w:eastAsia="楷体_GB2312" w:cs="楷体_GB2312"/>
          <w:i w:val="0"/>
          <w:iCs w:val="0"/>
          <w:caps w:val="0"/>
          <w:color w:val="000000"/>
          <w:spacing w:val="0"/>
          <w:sz w:val="31"/>
          <w:szCs w:val="31"/>
          <w:lang w:val="en-US" w:eastAsia="zh-CN"/>
        </w:rPr>
      </w:pPr>
      <w:r>
        <w:rPr>
          <w:rFonts w:hint="eastAsia" w:ascii="楷体_GB2312" w:hAnsi="宋体" w:eastAsia="楷体_GB2312" w:cs="楷体_GB2312"/>
          <w:i w:val="0"/>
          <w:iCs w:val="0"/>
          <w:caps w:val="0"/>
          <w:color w:val="000000"/>
          <w:spacing w:val="0"/>
          <w:sz w:val="31"/>
          <w:szCs w:val="31"/>
        </w:rPr>
        <w:t>专户全年执行数0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元，专户-执行率0</w:t>
      </w:r>
      <w:r>
        <w:rPr>
          <w:rFonts w:hint="eastAsia" w:ascii="楷体_GB2312" w:hAnsi="宋体" w:eastAsia="楷体_GB2312" w:cs="楷体_GB2312"/>
          <w:i w:val="0"/>
          <w:iCs w:val="0"/>
          <w:caps w:val="0"/>
          <w:color w:val="000000"/>
          <w:spacing w:val="0"/>
          <w:sz w:val="31"/>
          <w:szCs w:val="31"/>
          <w:lang w:val="en-US"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right="0" w:firstLine="620" w:firstLineChars="200"/>
        <w:jc w:val="left"/>
        <w:textAlignment w:val="auto"/>
        <w:rPr>
          <w:rFonts w:hint="eastAsia" w:ascii="楷体_GB2312" w:hAnsi="宋体" w:eastAsia="楷体_GB2312" w:cs="楷体_GB2312"/>
          <w:i w:val="0"/>
          <w:iCs w:val="0"/>
          <w:caps w:val="0"/>
          <w:color w:val="000000"/>
          <w:spacing w:val="0"/>
          <w:sz w:val="31"/>
          <w:szCs w:val="31"/>
        </w:rPr>
      </w:pPr>
      <w:r>
        <w:rPr>
          <w:rFonts w:hint="eastAsia" w:ascii="楷体_GB2312" w:hAnsi="宋体" w:eastAsia="楷体_GB2312" w:cs="楷体_GB2312"/>
          <w:i w:val="0"/>
          <w:iCs w:val="0"/>
          <w:caps w:val="0"/>
          <w:color w:val="000000"/>
          <w:spacing w:val="0"/>
          <w:sz w:val="31"/>
          <w:szCs w:val="31"/>
        </w:rPr>
        <w:t>单位全年执行数0</w:t>
      </w:r>
      <w:r>
        <w:rPr>
          <w:rFonts w:hint="eastAsia" w:ascii="楷体_GB2312" w:hAnsi="宋体" w:eastAsia="楷体_GB2312" w:cs="楷体_GB2312"/>
          <w:i w:val="0"/>
          <w:iCs w:val="0"/>
          <w:caps w:val="0"/>
          <w:color w:val="000000"/>
          <w:spacing w:val="0"/>
          <w:sz w:val="31"/>
          <w:szCs w:val="31"/>
          <w:lang w:eastAsia="zh-CN"/>
        </w:rPr>
        <w:t>万</w:t>
      </w:r>
      <w:r>
        <w:rPr>
          <w:rFonts w:hint="eastAsia" w:ascii="楷体_GB2312" w:hAnsi="宋体" w:eastAsia="楷体_GB2312" w:cs="楷体_GB2312"/>
          <w:i w:val="0"/>
          <w:iCs w:val="0"/>
          <w:caps w:val="0"/>
          <w:color w:val="000000"/>
          <w:spacing w:val="0"/>
          <w:sz w:val="31"/>
          <w:szCs w:val="31"/>
        </w:rPr>
        <w:t>元，单位全年执行率0</w:t>
      </w:r>
      <w:r>
        <w:rPr>
          <w:rFonts w:hint="eastAsia" w:ascii="楷体_GB2312" w:hAnsi="宋体" w:eastAsia="楷体_GB2312" w:cs="楷体_GB2312"/>
          <w:i w:val="0"/>
          <w:iCs w:val="0"/>
          <w:caps w:val="0"/>
          <w:color w:val="000000"/>
          <w:spacing w:val="0"/>
          <w:sz w:val="31"/>
          <w:szCs w:val="31"/>
          <w:lang w:val="en-US" w:eastAsia="zh-CN"/>
        </w:rPr>
        <w:t>%。</w:t>
      </w:r>
    </w:p>
    <w:p>
      <w:pPr>
        <w:pStyle w:val="4"/>
        <w:keepNext w:val="0"/>
        <w:keepLines w:val="0"/>
        <w:pageBreakBefore w:val="0"/>
        <w:widowControl/>
        <w:numPr>
          <w:ilvl w:val="0"/>
          <w:numId w:val="1"/>
        </w:numPr>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项目资金管理情况（包括管理制度、办法的制订及执行情况）</w:t>
      </w:r>
    </w:p>
    <w:p>
      <w:pPr>
        <w:keepNext w:val="0"/>
        <w:keepLines w:val="0"/>
        <w:pageBreakBefore w:val="0"/>
        <w:kinsoku/>
        <w:wordWrap/>
        <w:overflowPunct/>
        <w:topLinePunct w:val="0"/>
        <w:autoSpaceDE/>
        <w:autoSpaceDN/>
        <w:bidi w:val="0"/>
        <w:spacing w:beforeAutospacing="0" w:afterAutospacing="0" w:line="560" w:lineRule="exact"/>
        <w:ind w:right="0" w:rightChars="0" w:firstLine="640" w:firstLineChars="200"/>
        <w:textAlignment w:val="auto"/>
        <w:rPr>
          <w:rFonts w:hint="eastAsia" w:ascii="仿宋_GB2312" w:hAnsi="宋体" w:eastAsia="仿宋_GB2312" w:cs="仿宋_GB2312"/>
          <w:i w:val="0"/>
          <w:iCs w:val="0"/>
          <w:caps w:val="0"/>
          <w:color w:val="000000"/>
          <w:spacing w:val="0"/>
          <w:sz w:val="31"/>
          <w:szCs w:val="31"/>
        </w:rPr>
      </w:pPr>
      <w:r>
        <w:rPr>
          <w:rFonts w:hint="eastAsia" w:ascii="仿宋" w:hAnsi="仿宋" w:eastAsia="仿宋" w:cs="仿宋"/>
          <w:b w:val="0"/>
          <w:bCs w:val="0"/>
          <w:color w:val="000000"/>
          <w:sz w:val="32"/>
          <w:szCs w:val="32"/>
        </w:rPr>
        <w:t>项目资金由支队和市财政局统一管理。严格遵守《</w:t>
      </w:r>
      <w:r>
        <w:rPr>
          <w:rFonts w:hint="eastAsia" w:ascii="仿宋" w:hAnsi="仿宋" w:eastAsia="仿宋" w:cs="仿宋"/>
          <w:b w:val="0"/>
          <w:bCs w:val="0"/>
          <w:sz w:val="32"/>
          <w:szCs w:val="32"/>
          <w:lang w:eastAsia="zh-CN"/>
        </w:rPr>
        <w:t>三亚市公安局交通警察支队财务管理规定</w:t>
      </w:r>
      <w:r>
        <w:rPr>
          <w:rFonts w:hint="eastAsia" w:ascii="仿宋" w:hAnsi="仿宋" w:eastAsia="仿宋" w:cs="仿宋"/>
          <w:b w:val="0"/>
          <w:bCs w:val="0"/>
          <w:color w:val="000000"/>
          <w:sz w:val="32"/>
          <w:szCs w:val="32"/>
        </w:rPr>
        <w:t>》规定，按照支队资金财务审批流程办理款项结算。</w:t>
      </w:r>
      <w:r>
        <w:rPr>
          <w:rFonts w:hint="eastAsia" w:ascii="仿宋" w:hAnsi="仿宋" w:eastAsia="仿宋" w:cs="仿宋"/>
          <w:b w:val="0"/>
          <w:bCs w:val="0"/>
          <w:sz w:val="32"/>
          <w:szCs w:val="32"/>
          <w:lang w:val="en-US" w:eastAsia="zh-CN"/>
        </w:rPr>
        <w:t>经费报销单分别由经办人员签字、验证人签字、财务部门负责人签字及分管财务支队领导签字准予报销后，方可进行经费报销。</w:t>
      </w:r>
      <w:r>
        <w:rPr>
          <w:rFonts w:hint="eastAsia" w:ascii="仿宋" w:hAnsi="仿宋" w:eastAsia="仿宋" w:cs="仿宋"/>
          <w:b w:val="0"/>
          <w:bCs w:val="0"/>
          <w:color w:val="000000"/>
          <w:sz w:val="32"/>
          <w:szCs w:val="32"/>
        </w:rPr>
        <w:t>款项结算过程中，重点加强对资金支出合理性审核，禁止超标准、超范围支出；加强对资金支出单据审核，重点审核资金支出单据是否齐全，是否按照合同约定付款，是否按规定进行验收，符合预算评审标准的项目是否经评审中心评审，需按规定审计的项目是否按规定进行审计等。通过</w:t>
      </w:r>
      <w:r>
        <w:rPr>
          <w:rFonts w:hint="eastAsia" w:ascii="仿宋" w:hAnsi="仿宋" w:eastAsia="仿宋" w:cs="仿宋"/>
          <w:b w:val="0"/>
          <w:bCs w:val="0"/>
          <w:color w:val="000000"/>
          <w:sz w:val="32"/>
          <w:szCs w:val="32"/>
          <w:lang w:eastAsia="zh-CN"/>
        </w:rPr>
        <w:t>对资金</w:t>
      </w:r>
      <w:r>
        <w:rPr>
          <w:rFonts w:hint="eastAsia" w:ascii="仿宋" w:hAnsi="仿宋" w:eastAsia="仿宋" w:cs="仿宋"/>
          <w:b w:val="0"/>
          <w:bCs w:val="0"/>
          <w:color w:val="000000"/>
          <w:sz w:val="32"/>
          <w:szCs w:val="32"/>
        </w:rPr>
        <w:t>的</w:t>
      </w:r>
      <w:r>
        <w:rPr>
          <w:rFonts w:hint="eastAsia" w:ascii="仿宋" w:hAnsi="仿宋" w:eastAsia="仿宋" w:cs="仿宋"/>
          <w:b w:val="0"/>
          <w:bCs w:val="0"/>
          <w:color w:val="000000"/>
          <w:sz w:val="32"/>
          <w:szCs w:val="32"/>
          <w:lang w:eastAsia="zh-CN"/>
        </w:rPr>
        <w:t>严格</w:t>
      </w:r>
      <w:r>
        <w:rPr>
          <w:rFonts w:hint="eastAsia" w:ascii="仿宋" w:hAnsi="仿宋" w:eastAsia="仿宋" w:cs="仿宋"/>
          <w:b w:val="0"/>
          <w:bCs w:val="0"/>
          <w:color w:val="000000"/>
          <w:sz w:val="32"/>
          <w:szCs w:val="32"/>
        </w:rPr>
        <w:t>管理，极力避免挪用、挤占、截留项目资金的现象，保证财政资金安全有效使用。</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1"/>
          <w:szCs w:val="31"/>
        </w:rPr>
        <w:t>三、项目组织实施情况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（一）项目组织情况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招投标情况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根据我支队《三亚市公安局交警支队自行采购管理办法》实施细则、询价比选、合同管理等制度有关要求，严格依法依规按招标程序办事，确保在建项目招标工作始终置于有效监督之下，真正做到招标评标工作的公平、公正、公开。</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20" w:firstLineChars="200"/>
        <w:jc w:val="both"/>
        <w:textAlignment w:val="auto"/>
        <w:outlineLvl w:val="9"/>
        <w:rPr>
          <w:rFonts w:hint="default" w:ascii="仿宋_GB2312" w:eastAsia="仿宋_GB2312" w:cs="仿宋_GB2312"/>
          <w:sz w:val="31"/>
          <w:szCs w:val="31"/>
        </w:rPr>
      </w:pPr>
      <w:r>
        <w:rPr>
          <w:rFonts w:hint="eastAsia" w:ascii="仿宋_GB2312" w:eastAsia="仿宋_GB2312" w:cs="仿宋_GB2312"/>
          <w:sz w:val="31"/>
          <w:szCs w:val="31"/>
          <w:lang w:val="en-US" w:eastAsia="zh-CN"/>
        </w:rPr>
        <w:t>2.</w:t>
      </w:r>
      <w:r>
        <w:rPr>
          <w:rFonts w:hint="default" w:ascii="仿宋_GB2312" w:eastAsia="仿宋_GB2312" w:cs="仿宋_GB2312"/>
          <w:sz w:val="31"/>
          <w:szCs w:val="31"/>
        </w:rPr>
        <w:t>完成验收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eastAsia" w:ascii="仿宋_GB2312" w:hAnsi="宋体" w:eastAsia="仿宋_GB2312" w:cs="仿宋_GB2312"/>
          <w:i w:val="0"/>
          <w:iCs w:val="0"/>
          <w:caps w:val="0"/>
          <w:color w:val="000000"/>
          <w:spacing w:val="0"/>
          <w:sz w:val="31"/>
          <w:szCs w:val="31"/>
        </w:rPr>
      </w:pPr>
      <w:r>
        <w:rPr>
          <w:rFonts w:hint="eastAsia" w:ascii="仿宋" w:hAnsi="仿宋" w:eastAsia="仿宋" w:cs="仿宋"/>
          <w:b w:val="0"/>
          <w:bCs w:val="0"/>
          <w:color w:val="000000"/>
          <w:sz w:val="32"/>
          <w:szCs w:val="32"/>
        </w:rPr>
        <w:t>项目实施完成后，我支队组织人员对全部项目进行了一一验收。每次验收均安排</w:t>
      </w: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名以上人员参与，分别对每个项目的施工质量进行专业审核。验收结果均为质量合格，实现了预期质量目标。</w:t>
      </w:r>
    </w:p>
    <w:p>
      <w:pPr>
        <w:pStyle w:val="4"/>
        <w:keepNext w:val="0"/>
        <w:keepLines w:val="0"/>
        <w:pageBreakBefore w:val="0"/>
        <w:widowControl/>
        <w:numPr>
          <w:ilvl w:val="0"/>
          <w:numId w:val="2"/>
        </w:numPr>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项目管理情况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1.制度建设情况。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为了保障财务与资金平稳运行，我支队制定并印发了《三亚市公安局交通警察支队财务管理规定》，明确了包含收支管理、资产管理、报账管理等措施。</w:t>
      </w:r>
    </w:p>
    <w:p>
      <w:pPr>
        <w:pStyle w:val="4"/>
        <w:keepNext w:val="0"/>
        <w:keepLines w:val="0"/>
        <w:pageBreakBefore w:val="0"/>
        <w:widowControl/>
        <w:numPr>
          <w:ilvl w:val="0"/>
          <w:numId w:val="0"/>
        </w:numPr>
        <w:suppressLineNumbers w:val="0"/>
        <w:kinsoku/>
        <w:wordWrap/>
        <w:overflowPunct/>
        <w:topLinePunct w:val="0"/>
        <w:autoSpaceDE/>
        <w:autoSpaceDN/>
        <w:bidi w:val="0"/>
        <w:spacing w:before="100" w:beforeAutospacing="0" w:after="100" w:afterAutospacing="0" w:line="560" w:lineRule="exact"/>
        <w:ind w:left="645" w:leftChars="0" w:right="0" w:rightChars="0"/>
        <w:jc w:val="left"/>
        <w:textAlignment w:val="auto"/>
        <w:rPr>
          <w:rFonts w:hint="eastAsia" w:ascii="仿宋_GB2312" w:hAnsi="宋体" w:eastAsia="仿宋_GB2312" w:cs="仿宋_GB2312"/>
          <w:i w:val="0"/>
          <w:iCs w:val="0"/>
          <w:caps w:val="0"/>
          <w:color w:val="000000"/>
          <w:spacing w:val="0"/>
          <w:sz w:val="31"/>
          <w:szCs w:val="31"/>
          <w:lang w:val="en-US" w:eastAsia="zh-CN"/>
        </w:rPr>
      </w:pPr>
      <w:r>
        <w:rPr>
          <w:rFonts w:hint="eastAsia" w:ascii="仿宋_GB2312" w:hAnsi="宋体" w:eastAsia="仿宋_GB2312" w:cs="仿宋_GB2312"/>
          <w:i w:val="0"/>
          <w:iCs w:val="0"/>
          <w:caps w:val="0"/>
          <w:color w:val="000000"/>
          <w:spacing w:val="0"/>
          <w:sz w:val="31"/>
          <w:szCs w:val="31"/>
          <w:lang w:val="en-US" w:eastAsia="zh-CN"/>
        </w:rPr>
        <w:t>2.</w:t>
      </w:r>
      <w:r>
        <w:rPr>
          <w:rFonts w:hint="eastAsia" w:ascii="仿宋_GB2312" w:hAnsi="宋体" w:eastAsia="仿宋_GB2312" w:cs="仿宋_GB2312"/>
          <w:i w:val="0"/>
          <w:iCs w:val="0"/>
          <w:caps w:val="0"/>
          <w:color w:val="000000"/>
          <w:spacing w:val="0"/>
          <w:sz w:val="31"/>
          <w:szCs w:val="31"/>
        </w:rPr>
        <w:t>日常检查监督</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100" w:afterAutospacing="0" w:line="560" w:lineRule="exact"/>
        <w:ind w:right="0" w:rightChars="0" w:firstLine="640" w:firstLineChars="200"/>
        <w:jc w:val="left"/>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为了使政府采购项目操作程序进入制度化、规范化的运行轨道，进一步健全政府采购监督制约机制，始终坚持“规范为重”的原则，把好采购审批关，并严格按照政府采购程序组织实施，加强现场监督，重大项目邀请纪检监察、审计等部门全过程参与，有力保证政府采购“公开、公平、公正”,增强了政府采购透明度，避免了操作的随意性，从源头上遏制了消极腐败现象，确保政府采购成为真正“阳光采购”。</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1"/>
          <w:szCs w:val="31"/>
        </w:rPr>
        <w:t>四、项目绩效情况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（一）项目绩效目标完成情况。</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lang w:val="en-US" w:eastAsia="zh-CN"/>
        </w:rPr>
      </w:pPr>
      <w:r>
        <w:rPr>
          <w:rFonts w:hint="eastAsia" w:ascii="仿宋_GB2312" w:hAnsi="宋体" w:eastAsia="仿宋_GB2312" w:cs="仿宋_GB2312"/>
          <w:i w:val="0"/>
          <w:iCs w:val="0"/>
          <w:caps w:val="0"/>
          <w:color w:val="000000"/>
          <w:spacing w:val="0"/>
          <w:sz w:val="31"/>
          <w:szCs w:val="31"/>
          <w:lang w:val="en-US" w:eastAsia="zh-CN"/>
        </w:rPr>
        <w:t>1.项目的经济性分析</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rightChars="0" w:firstLine="645"/>
        <w:jc w:val="both"/>
        <w:textAlignment w:val="auto"/>
        <w:rPr>
          <w:rFonts w:hint="default" w:ascii="仿宋_GB2312" w:hAnsi="仿宋_GB2312" w:eastAsia="仿宋_GB2312" w:cs="仿宋_GB2312"/>
          <w:sz w:val="32"/>
          <w:szCs w:val="32"/>
          <w:lang w:val="en-US" w:eastAsia="zh-CN"/>
        </w:rPr>
      </w:pPr>
      <w:r>
        <w:rPr>
          <w:rFonts w:hint="eastAsia" w:ascii="仿宋_GB2312" w:hAnsi="宋体" w:eastAsia="仿宋_GB2312" w:cs="仿宋_GB2312"/>
          <w:i w:val="0"/>
          <w:iCs w:val="0"/>
          <w:caps w:val="0"/>
          <w:color w:val="000000"/>
          <w:spacing w:val="0"/>
          <w:sz w:val="31"/>
          <w:szCs w:val="31"/>
          <w:lang w:val="en-US" w:eastAsia="zh-CN"/>
        </w:rPr>
        <w:t>成本指标（经济成本指标：控制项目成本不超出预算金1763万，100%完成）</w:t>
      </w:r>
      <w:r>
        <w:rPr>
          <w:rFonts w:hint="eastAsia" w:ascii="仿宋_GB2312" w:hAnsi="仿宋_GB2312" w:eastAsia="仿宋_GB2312" w:cs="仿宋_GB2312"/>
          <w:sz w:val="32"/>
          <w:szCs w:val="32"/>
          <w:lang w:eastAsia="zh-CN"/>
        </w:rPr>
        <w:t>项目经济性方面成本控制较好，未超出预算额；效率性方面截止</w:t>
      </w:r>
      <w:r>
        <w:rPr>
          <w:rFonts w:hint="eastAsia" w:ascii="仿宋_GB2312" w:hAnsi="仿宋_GB2312" w:eastAsia="仿宋_GB2312" w:cs="仿宋_GB2312"/>
          <w:sz w:val="32"/>
          <w:szCs w:val="32"/>
          <w:lang w:val="en-US" w:eastAsia="zh-CN"/>
        </w:rPr>
        <w:t>2024年12月底项目总体完成度约为30%，对比项目计划进展相对滞后。项目有效性方面，对于已经安装的前端设备数据通过视频专网传回到三亚市交警支队数据机房进行处理和资源共享，并可通过三亚交警集成指挥平台进行调用和控制，提升抱坡体育产业园片区与鹿城大道在强化治安防控、优化交通出行、服务城市管理、创新社会治理等方面的效果。</w:t>
      </w:r>
    </w:p>
    <w:p>
      <w:pPr>
        <w:pStyle w:val="4"/>
        <w:keepNext w:val="0"/>
        <w:keepLines w:val="0"/>
        <w:pageBreakBefore w:val="0"/>
        <w:widowControl/>
        <w:numPr>
          <w:ilvl w:val="0"/>
          <w:numId w:val="3"/>
        </w:numPr>
        <w:suppressLineNumbers w:val="0"/>
        <w:kinsoku/>
        <w:wordWrap/>
        <w:overflowPunct/>
        <w:topLinePunct w:val="0"/>
        <w:autoSpaceDE/>
        <w:autoSpaceDN/>
        <w:bidi w:val="0"/>
        <w:spacing w:before="100" w:beforeAutospacing="0" w:after="100" w:afterAutospacing="0" w:line="560" w:lineRule="exact"/>
        <w:ind w:left="0" w:leftChars="0" w:right="0" w:firstLine="645" w:firstLineChars="0"/>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项目绩效目标未完成情况及原因分析</w:t>
      </w:r>
    </w:p>
    <w:p>
      <w:pPr>
        <w:pStyle w:val="4"/>
        <w:keepNext w:val="0"/>
        <w:keepLines w:val="0"/>
        <w:pageBreakBefore w:val="0"/>
        <w:widowControl/>
        <w:numPr>
          <w:ilvl w:val="0"/>
          <w:numId w:val="0"/>
        </w:numPr>
        <w:suppressLineNumbers w:val="0"/>
        <w:kinsoku/>
        <w:wordWrap/>
        <w:overflowPunct/>
        <w:topLinePunct w:val="0"/>
        <w:autoSpaceDE/>
        <w:autoSpaceDN/>
        <w:bidi w:val="0"/>
        <w:spacing w:before="100" w:beforeAutospacing="0" w:after="100" w:afterAutospacing="0" w:line="560" w:lineRule="exact"/>
        <w:ind w:left="0" w:leftChars="0" w:right="0" w:rightChars="0" w:firstLine="645" w:firstLine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bidi="ar"/>
        </w:rPr>
        <w:t>1.</w:t>
      </w:r>
      <w:r>
        <w:rPr>
          <w:rFonts w:hint="eastAsia" w:ascii="仿宋_GB2312" w:hAnsi="仿宋_GB2312" w:eastAsia="仿宋_GB2312" w:cs="仿宋_GB2312"/>
          <w:b w:val="0"/>
          <w:bCs w:val="0"/>
          <w:sz w:val="32"/>
          <w:szCs w:val="32"/>
          <w:lang w:val="en-US" w:eastAsia="zh-CN"/>
        </w:rPr>
        <w:t>预算执行方面，2024年全年</w:t>
      </w:r>
      <w:r>
        <w:rPr>
          <w:rFonts w:hint="eastAsia" w:ascii="仿宋_GB2312" w:hAnsi="仿宋_GB2312" w:eastAsia="仿宋_GB2312" w:cs="仿宋_GB2312"/>
          <w:b w:val="0"/>
          <w:bCs w:val="0"/>
          <w:sz w:val="32"/>
          <w:szCs w:val="32"/>
          <w:lang w:eastAsia="zh-CN"/>
        </w:rPr>
        <w:t>，抱坡体育产业园片区与鹿城大道增设交通管控设备采购项目实际支出</w:t>
      </w:r>
      <w:r>
        <w:rPr>
          <w:rFonts w:hint="eastAsia" w:ascii="仿宋_GB2312" w:hAnsi="仿宋_GB2312" w:eastAsia="仿宋_GB2312" w:cs="仿宋_GB2312"/>
          <w:b w:val="0"/>
          <w:bCs w:val="0"/>
          <w:sz w:val="32"/>
          <w:szCs w:val="32"/>
          <w:lang w:val="en-US" w:eastAsia="zh-CN"/>
        </w:rPr>
        <w:t>285.71万</w:t>
      </w:r>
      <w:r>
        <w:rPr>
          <w:rFonts w:hint="eastAsia" w:ascii="仿宋_GB2312" w:hAnsi="仿宋_GB2312" w:eastAsia="仿宋_GB2312" w:cs="仿宋_GB2312"/>
          <w:b w:val="0"/>
          <w:bCs w:val="0"/>
          <w:sz w:val="32"/>
          <w:szCs w:val="32"/>
          <w:lang w:eastAsia="zh-CN"/>
        </w:rPr>
        <w:t>元，支出执行率</w:t>
      </w:r>
      <w:r>
        <w:rPr>
          <w:rFonts w:hint="eastAsia" w:ascii="仿宋_GB2312" w:hAnsi="仿宋_GB2312" w:eastAsia="仿宋_GB2312" w:cs="仿宋_GB2312"/>
          <w:b w:val="0"/>
          <w:bCs w:val="0"/>
          <w:sz w:val="32"/>
          <w:szCs w:val="32"/>
          <w:lang w:val="en-US" w:eastAsia="zh-CN"/>
        </w:rPr>
        <w:t>29.88</w:t>
      </w:r>
      <w:r>
        <w:rPr>
          <w:rFonts w:hint="eastAsia" w:ascii="仿宋_GB2312" w:hAnsi="仿宋_GB2312" w:eastAsia="仿宋_GB2312" w:cs="仿宋_GB2312"/>
          <w:b w:val="0"/>
          <w:bCs w:val="0"/>
          <w:sz w:val="32"/>
          <w:szCs w:val="32"/>
          <w:lang w:eastAsia="zh-CN"/>
        </w:rPr>
        <w:t>%，未全部支付完成。</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100" w:afterAutospacing="0" w:line="560" w:lineRule="exact"/>
        <w:ind w:right="0" w:rightChars="0"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产出指标方面，2套交通信号控制设备购置安装1套完成50%；20套视频监控设备购置安装10套完成33.33%；4套测速卡口设备购置安装1套完成25%；5套制高点监控设备购置安装1套完成20%；设备验收合格率完成0%；设备到位及时率0%；设备利用率0%。</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lang w:val="en-US" w:eastAsia="zh-CN"/>
        </w:rPr>
        <w:t>原因分析：2024年度绩效目标采购均未完成，</w:t>
      </w:r>
      <w:r>
        <w:rPr>
          <w:rFonts w:hint="eastAsia" w:ascii="仿宋_GB2312" w:hAnsi="宋体" w:eastAsia="仿宋_GB2312" w:cs="仿宋_GB2312"/>
          <w:i w:val="0"/>
          <w:iCs w:val="0"/>
          <w:caps w:val="0"/>
          <w:color w:val="000000"/>
          <w:spacing w:val="0"/>
          <w:sz w:val="31"/>
          <w:szCs w:val="31"/>
        </w:rPr>
        <w:t>因项目招投标流程繁琐、耗时较久，导致开标、合同签署和支付预付款等手续未能按预期进行</w:t>
      </w:r>
      <w:r>
        <w:rPr>
          <w:rFonts w:hint="eastAsia" w:ascii="仿宋_GB2312" w:hAnsi="宋体" w:eastAsia="仿宋_GB2312" w:cs="仿宋_GB2312"/>
          <w:i w:val="0"/>
          <w:iCs w:val="0"/>
          <w:caps w:val="0"/>
          <w:color w:val="000000"/>
          <w:spacing w:val="0"/>
          <w:sz w:val="31"/>
          <w:szCs w:val="31"/>
          <w:lang w:eastAsia="zh-CN"/>
        </w:rPr>
        <w:t>。</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1"/>
          <w:szCs w:val="31"/>
        </w:rPr>
        <w:t>五、其他需要说明的问题</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hAnsi="宋体" w:eastAsia="仿宋_GB2312" w:cs="仿宋_GB2312"/>
          <w:i w:val="0"/>
          <w:iCs w:val="0"/>
          <w:caps w:val="0"/>
          <w:color w:val="000000"/>
          <w:spacing w:val="0"/>
          <w:sz w:val="31"/>
          <w:szCs w:val="31"/>
        </w:rPr>
        <w:t>（一）后续工作计划</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仿宋_GB2312" w:hAnsi="宋体" w:eastAsia="仿宋_GB2312" w:cs="仿宋_GB2312"/>
          <w:i w:val="0"/>
          <w:iCs w:val="0"/>
          <w:caps w:val="0"/>
          <w:color w:val="000000"/>
          <w:spacing w:val="0"/>
          <w:sz w:val="31"/>
          <w:szCs w:val="31"/>
        </w:rPr>
      </w:pPr>
      <w:r>
        <w:rPr>
          <w:rFonts w:hint="eastAsia" w:ascii="仿宋_GB2312" w:eastAsia="仿宋_GB2312" w:cs="仿宋_GB2312"/>
          <w:sz w:val="32"/>
          <w:szCs w:val="32"/>
          <w:lang w:eastAsia="zh-CN"/>
        </w:rPr>
        <w:t>扎实推进项目进展，切实做好预算支出工作，根据各级领导指示，交警支队对项目实行周调度制度，每周支队领导组织一次项目调度会，就项目进展，当前存在问题，需协调部门和下一步工作思路和代建、施工和监理等单位进行讨论，持续明确工作思路，强化责任意识。</w:t>
      </w:r>
    </w:p>
    <w:p>
      <w:pPr>
        <w:pStyle w:val="4"/>
        <w:keepNext w:val="0"/>
        <w:keepLines w:val="0"/>
        <w:pageBreakBefore w:val="0"/>
        <w:widowControl/>
        <w:suppressLineNumbers w:val="0"/>
        <w:kinsoku/>
        <w:wordWrap/>
        <w:overflowPunct/>
        <w:topLinePunct w:val="0"/>
        <w:autoSpaceDE/>
        <w:autoSpaceDN/>
        <w:bidi w:val="0"/>
        <w:spacing w:before="100" w:beforeAutospacing="0" w:after="100" w:afterAutospacing="0" w:line="560" w:lineRule="exact"/>
        <w:ind w:left="0" w:right="0" w:firstLine="645"/>
        <w:jc w:val="left"/>
        <w:textAlignment w:val="auto"/>
        <w:rPr>
          <w:rFonts w:hint="eastAsia" w:ascii="宋体" w:hAnsi="宋体" w:eastAsia="宋体" w:cs="宋体"/>
          <w:i w:val="0"/>
          <w:iCs w:val="0"/>
          <w:caps w:val="0"/>
          <w:color w:val="000000"/>
          <w:spacing w:val="0"/>
          <w:sz w:val="27"/>
          <w:szCs w:val="27"/>
        </w:rPr>
      </w:pPr>
      <w:r>
        <w:rPr>
          <w:rFonts w:hint="eastAsia" w:ascii="仿宋_GB2312" w:hAnsi="宋体" w:eastAsia="仿宋_GB2312" w:cs="仿宋_GB2312"/>
          <w:i w:val="0"/>
          <w:iCs w:val="0"/>
          <w:caps w:val="0"/>
          <w:color w:val="000000"/>
          <w:spacing w:val="0"/>
          <w:sz w:val="31"/>
          <w:szCs w:val="31"/>
        </w:rPr>
        <w:t>（二）主要经验及做法、存在问题和建议</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lang w:val="en-US" w:eastAsia="zh-CN"/>
        </w:rPr>
      </w:pPr>
      <w:r>
        <w:rPr>
          <w:rFonts w:hint="eastAsia" w:ascii="仿宋_GB2312" w:hAnsi="仿宋_GB2312" w:eastAsia="仿宋_GB2312" w:cs="仿宋_GB2312"/>
          <w:b w:val="0"/>
          <w:bCs/>
          <w:sz w:val="32"/>
          <w:szCs w:val="32"/>
          <w:lang w:val="en-US" w:eastAsia="zh-CN"/>
        </w:rPr>
        <w:t>1.主要经验及做法</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jc w:val="both"/>
        <w:textAlignment w:val="auto"/>
        <w:outlineLvl w:val="9"/>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val="0"/>
          <w:bCs/>
          <w:sz w:val="32"/>
          <w:szCs w:val="32"/>
          <w:lang w:val="en-US" w:eastAsia="zh-CN"/>
        </w:rPr>
        <w:t xml:space="preserve">    交警支队积极落实上级部门和领导指示，对项目进行认真梳理，结合资金使用情况进行绩效评价，确保绩效结果全面真实有效，并运用绩效评价结果指导下一年度预算安排，从而有利于达到优化预算支出分配的目的。</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left="0" w:leftChars="0" w:right="0" w:rightChars="0"/>
        <w:textAlignment w:val="auto"/>
        <w:rPr>
          <w:rFonts w:hint="eastAsia"/>
          <w:lang w:val="en-US" w:eastAsia="zh-CN"/>
        </w:rPr>
      </w:pPr>
      <w:bookmarkStart w:id="0" w:name="_Toc472"/>
      <w:bookmarkStart w:id="1" w:name="_Toc29214"/>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sz w:val="32"/>
          <w:szCs w:val="32"/>
          <w:lang w:val="en-US" w:eastAsia="zh-CN"/>
        </w:rPr>
        <w:t>2.存在问题</w:t>
      </w:r>
      <w:bookmarkEnd w:id="0"/>
      <w:bookmarkEnd w:id="1"/>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由于预算绩效管理的专业性、复杂性等特点，预算编制工作需进一步精细化，项目资金使用的效率还要进一步提高。</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left="0" w:leftChars="0" w:right="0" w:rightChars="0"/>
        <w:textAlignment w:val="auto"/>
        <w:rPr>
          <w:rFonts w:hint="eastAsia"/>
          <w:lang w:val="en-US" w:eastAsia="zh-CN"/>
        </w:rPr>
      </w:pPr>
      <w:bookmarkStart w:id="2" w:name="_Toc20337"/>
      <w:bookmarkStart w:id="3" w:name="_Toc18726"/>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sz w:val="32"/>
          <w:szCs w:val="32"/>
          <w:lang w:val="en-US" w:eastAsia="zh-CN"/>
        </w:rPr>
        <w:t>3.建议</w:t>
      </w:r>
      <w:bookmarkEnd w:id="2"/>
      <w:bookmarkEnd w:id="3"/>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rightChars="0" w:firstLine="645"/>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val="en-US" w:eastAsia="zh-CN"/>
        </w:rPr>
        <w:t>建议加大预算资金执行力度，强化资金监管，加强资金绩效目标考核管理，确保资金投入和产出效益。</w:t>
      </w:r>
    </w:p>
    <w:p>
      <w:pPr>
        <w:pStyle w:val="4"/>
        <w:keepNext w:val="0"/>
        <w:keepLines w:val="0"/>
        <w:widowControl/>
        <w:suppressLineNumbers w:val="0"/>
        <w:spacing w:before="100" w:beforeAutospacing="0" w:after="100" w:afterAutospacing="0"/>
        <w:ind w:left="0" w:right="0" w:firstLine="0"/>
        <w:jc w:val="left"/>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8DB25"/>
    <w:multiLevelType w:val="singleLevel"/>
    <w:tmpl w:val="81E8DB25"/>
    <w:lvl w:ilvl="0" w:tentative="0">
      <w:start w:val="2"/>
      <w:numFmt w:val="chineseCounting"/>
      <w:suff w:val="nothing"/>
      <w:lvlText w:val="（%1）"/>
      <w:lvlJc w:val="left"/>
      <w:rPr>
        <w:rFonts w:hint="eastAsia"/>
      </w:rPr>
    </w:lvl>
  </w:abstractNum>
  <w:abstractNum w:abstractNumId="1">
    <w:nsid w:val="CA18B604"/>
    <w:multiLevelType w:val="singleLevel"/>
    <w:tmpl w:val="CA18B604"/>
    <w:lvl w:ilvl="0" w:tentative="0">
      <w:start w:val="2"/>
      <w:numFmt w:val="chineseCounting"/>
      <w:suff w:val="nothing"/>
      <w:lvlText w:val="（%1）"/>
      <w:lvlJc w:val="left"/>
      <w:rPr>
        <w:rFonts w:hint="eastAsia"/>
      </w:rPr>
    </w:lvl>
  </w:abstractNum>
  <w:abstractNum w:abstractNumId="2">
    <w:nsid w:val="25ED162C"/>
    <w:multiLevelType w:val="singleLevel"/>
    <w:tmpl w:val="25ED162C"/>
    <w:lvl w:ilvl="0" w:tentative="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D7218"/>
    <w:rsid w:val="0779452C"/>
    <w:rsid w:val="07DC0D98"/>
    <w:rsid w:val="25AD7218"/>
    <w:rsid w:val="2DC407EE"/>
    <w:rsid w:val="31475925"/>
    <w:rsid w:val="38D35014"/>
    <w:rsid w:val="49002D3E"/>
    <w:rsid w:val="51AB5688"/>
    <w:rsid w:val="52F94208"/>
    <w:rsid w:val="698A3F44"/>
    <w:rsid w:val="75232716"/>
    <w:rsid w:val="7C381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2665</Words>
  <Characters>2803</Characters>
  <Lines>0</Lines>
  <Paragraphs>0</Paragraphs>
  <TotalTime>17</TotalTime>
  <ScaleCrop>false</ScaleCrop>
  <LinksUpToDate>false</LinksUpToDate>
  <CharactersWithSpaces>2828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2025-05-26T07:30:00Z</dcterms:created>
  <dc:creator>C</dc:creator>
  <cp:lastModifiedBy>lenovo</cp:lastModifiedBy>
  <cp:lastPrinted>2025-05-28T07:33:00Z</cp:lastPrinted>
  <dcterms:modified xsi:type="dcterms:W3CDTF">2025-05-28T08:24:30Z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A3D6760EF8AB4B7986615979ED8DDA60_13</vt:lpwstr>
  </property>
  <property fmtid="{D5CDD505-2E9C-101B-9397-08002B2CF9AE}" pid="4" name="KSOTemplateDocerSaveRecord">
    <vt:lpwstr>eyJoZGlkIjoiZWQwMjVmMjhjZGVkMTI3YWE0Njc2ODg4NWEzMzRkMjEiLCJ1c2VySWQiOiI0Nzc0NzM4NTcifQ==</vt:lpwstr>
  </property>
</Properties>
</file>